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3F2532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rPr>
      </w:pPr>
      <w:bookmarkStart w:id="0" w:name="_GoBack"/>
      <w:bookmarkEnd w:id="0"/>
      <w:r>
        <w:rPr>
          <w:rFonts w:hint="eastAsia" w:ascii="方正小标宋简体" w:hAnsi="方正小标宋简体" w:eastAsia="方正小标宋简体" w:cs="方正小标宋简体"/>
          <w:b w:val="0"/>
          <w:bCs/>
          <w:sz w:val="44"/>
          <w:szCs w:val="44"/>
        </w:rPr>
        <w:t>关于</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苏州市市级文化体育旅游发展专项</w:t>
      </w:r>
    </w:p>
    <w:p w14:paraId="6083FE8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资金管理办法</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送审稿</w:t>
      </w:r>
      <w:r>
        <w:rPr>
          <w:rFonts w:hint="eastAsia" w:ascii="方正小标宋简体" w:hAnsi="方正小标宋简体" w:eastAsia="方正小标宋简体" w:cs="方正小标宋简体"/>
          <w:b w:val="0"/>
          <w:bCs/>
          <w:sz w:val="44"/>
          <w:szCs w:val="44"/>
          <w:lang w:eastAsia="zh-CN"/>
        </w:rPr>
        <w:t>）》的</w:t>
      </w:r>
      <w:r>
        <w:rPr>
          <w:rFonts w:hint="eastAsia" w:ascii="方正小标宋简体" w:hAnsi="方正小标宋简体" w:eastAsia="方正小标宋简体" w:cs="方正小标宋简体"/>
          <w:b w:val="0"/>
          <w:bCs/>
          <w:sz w:val="44"/>
          <w:szCs w:val="44"/>
          <w:lang w:val="en-US" w:eastAsia="zh-CN"/>
        </w:rPr>
        <w:t>起草</w:t>
      </w:r>
      <w:r>
        <w:rPr>
          <w:rFonts w:hint="eastAsia" w:ascii="方正小标宋简体" w:hAnsi="方正小标宋简体" w:eastAsia="方正小标宋简体" w:cs="方正小标宋简体"/>
          <w:b w:val="0"/>
          <w:bCs/>
          <w:sz w:val="44"/>
          <w:szCs w:val="44"/>
        </w:rPr>
        <w:t>说明</w:t>
      </w:r>
    </w:p>
    <w:p w14:paraId="70DE8A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rPr>
      </w:pPr>
    </w:p>
    <w:p w14:paraId="014697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eastAsia="zh-CN"/>
        </w:rPr>
        <w:t>制定</w:t>
      </w:r>
      <w:r>
        <w:rPr>
          <w:rFonts w:hint="default" w:ascii="Times New Roman" w:hAnsi="Times New Roman" w:eastAsia="黑体" w:cs="Times New Roman"/>
          <w:sz w:val="32"/>
          <w:szCs w:val="32"/>
        </w:rPr>
        <w:t>背景</w:t>
      </w:r>
    </w:p>
    <w:p w14:paraId="010D4E4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苏州市市级文化产业发展专项资金管理办法》（苏财规〔2020〕10号）有效期至2026年1月31日，《苏州市市级体育产业发展专项资金管理办法》（苏财规〔2020〕2号）有效期至2026年3月31日。为推进我市文化、体育、旅游</w:t>
      </w:r>
      <w:r>
        <w:rPr>
          <w:rFonts w:hint="eastAsia" w:ascii="仿宋_GB2312" w:hAnsi="仿宋_GB2312" w:eastAsia="仿宋_GB2312" w:cs="仿宋_GB2312"/>
          <w:sz w:val="32"/>
          <w:szCs w:val="32"/>
          <w:lang w:val="en-US" w:eastAsia="zh-CN"/>
        </w:rPr>
        <w:t>融合高质量</w:t>
      </w:r>
      <w:r>
        <w:rPr>
          <w:rFonts w:hint="eastAsia" w:ascii="仿宋_GB2312" w:hAnsi="仿宋_GB2312" w:eastAsia="仿宋_GB2312" w:cs="仿宋_GB2312"/>
          <w:sz w:val="32"/>
          <w:szCs w:val="32"/>
        </w:rPr>
        <w:t>发展，进一步规范和加强专项资金管理和使用，结合我市实际，</w:t>
      </w:r>
      <w:r>
        <w:rPr>
          <w:rFonts w:hint="eastAsia" w:ascii="仿宋_GB2312" w:hAnsi="仿宋_GB2312" w:eastAsia="仿宋_GB2312" w:cs="仿宋_GB2312"/>
          <w:sz w:val="32"/>
          <w:szCs w:val="32"/>
          <w:lang w:val="en-US" w:eastAsia="zh-CN"/>
        </w:rPr>
        <w:t>我们研究制定了</w:t>
      </w:r>
      <w:r>
        <w:rPr>
          <w:rFonts w:hint="eastAsia" w:ascii="仿宋_GB2312" w:hAnsi="仿宋_GB2312" w:eastAsia="仿宋_GB2312" w:cs="仿宋_GB2312"/>
          <w:sz w:val="32"/>
          <w:szCs w:val="32"/>
        </w:rPr>
        <w:t>《苏州市市级文化体育旅游发展专项资金管理办法》</w:t>
      </w:r>
      <w:r>
        <w:rPr>
          <w:rFonts w:hint="eastAsia" w:ascii="仿宋_GB2312" w:hAnsi="仿宋_GB2312" w:eastAsia="仿宋_GB2312" w:cs="仿宋_GB2312"/>
          <w:sz w:val="32"/>
          <w:szCs w:val="32"/>
          <w:lang w:eastAsia="zh-CN"/>
        </w:rPr>
        <w:t>（以下简称“《管理办法》”）</w:t>
      </w:r>
      <w:r>
        <w:rPr>
          <w:rFonts w:hint="eastAsia" w:ascii="仿宋_GB2312" w:hAnsi="仿宋_GB2312" w:eastAsia="仿宋_GB2312" w:cs="仿宋_GB2312"/>
          <w:sz w:val="32"/>
          <w:szCs w:val="32"/>
        </w:rPr>
        <w:t>。</w:t>
      </w:r>
    </w:p>
    <w:p w14:paraId="023781C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val="en-US"/>
        </w:rPr>
      </w:pPr>
      <w:r>
        <w:rPr>
          <w:rFonts w:hint="eastAsia"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rPr>
        <w:t>、</w:t>
      </w:r>
      <w:r>
        <w:rPr>
          <w:rFonts w:hint="eastAsia" w:ascii="Times New Roman" w:hAnsi="Times New Roman" w:eastAsia="黑体" w:cs="Times New Roman"/>
          <w:sz w:val="32"/>
          <w:szCs w:val="32"/>
          <w:lang w:val="en-US" w:eastAsia="zh-CN"/>
        </w:rPr>
        <w:t>框架和主要内容</w:t>
      </w:r>
    </w:p>
    <w:p w14:paraId="16240BE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《管理办法》共分为六章二十六条，主要从总则、管理职责、支持范围和方式、使用与执行、财会监督和绩效管理、附则等方面进行详细规范，主要内容如下：</w:t>
      </w:r>
    </w:p>
    <w:p w14:paraId="5F6E1C62">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1.总则部分，主要明确了制定《管理办法》的目的和依据、适用范围、专项资金的定义以及基本原则和基本制度。</w:t>
      </w:r>
    </w:p>
    <w:p w14:paraId="73C42D8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2.管理职责部分，明确了专项资金各管理和使用主体的职责，并对每个责任主体的职责进行条文表述。</w:t>
      </w:r>
    </w:p>
    <w:p w14:paraId="7893DE4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3.支持范围</w:t>
      </w:r>
      <w:r>
        <w:rPr>
          <w:rFonts w:hint="eastAsia" w:ascii="仿宋_GB2312" w:hAnsi="仿宋_GB2312" w:eastAsia="仿宋_GB2312" w:cs="仿宋_GB2312"/>
          <w:sz w:val="32"/>
          <w:szCs w:val="32"/>
          <w:lang w:val="en-US" w:eastAsia="zh-CN"/>
        </w:rPr>
        <w:t>和方式</w:t>
      </w:r>
      <w:r>
        <w:rPr>
          <w:rFonts w:hint="eastAsia" w:ascii="仿宋_GB2312" w:hAnsi="仿宋_GB2312" w:eastAsia="仿宋_GB2312" w:cs="仿宋_GB2312"/>
          <w:sz w:val="32"/>
          <w:szCs w:val="32"/>
        </w:rPr>
        <w:t>部分明确了专项资金的使用范围，以及各类资金的支持方式。</w:t>
      </w:r>
    </w:p>
    <w:p w14:paraId="239BB8E9">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4.使用与执行部分明确了专项资金在预算编制与执行中的相关事宜。</w:t>
      </w:r>
    </w:p>
    <w:p w14:paraId="6B2736A8">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5.财会监督和绩效管理部分明确了在专项资金监督和预算绩效管理中的相关事宜。</w:t>
      </w:r>
    </w:p>
    <w:p w14:paraId="06D40616">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6.附则部分明确了《管理办法》的解释主体和实施时间等事项。</w:t>
      </w:r>
    </w:p>
    <w:p w14:paraId="24F24AA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lang w:eastAsia="zh-CN"/>
        </w:rPr>
        <w:t>、</w:t>
      </w:r>
      <w:r>
        <w:rPr>
          <w:rFonts w:hint="eastAsia" w:ascii="Times New Roman" w:hAnsi="Times New Roman" w:eastAsia="黑体" w:cs="Times New Roman"/>
          <w:sz w:val="32"/>
          <w:szCs w:val="32"/>
          <w:lang w:val="en-US" w:eastAsia="zh-CN"/>
        </w:rPr>
        <w:t>文件</w:t>
      </w:r>
      <w:r>
        <w:rPr>
          <w:rFonts w:hint="default" w:ascii="Times New Roman" w:hAnsi="Times New Roman" w:eastAsia="黑体" w:cs="Times New Roman"/>
          <w:sz w:val="32"/>
          <w:szCs w:val="32"/>
          <w:lang w:eastAsia="zh-CN"/>
        </w:rPr>
        <w:t>制定过程</w:t>
      </w:r>
    </w:p>
    <w:p w14:paraId="2B71A0E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《管理办法》修订严格遵循法定程序</w:t>
      </w:r>
      <w:r>
        <w:rPr>
          <w:rFonts w:hint="eastAsia" w:ascii="Times New Roman" w:hAnsi="Times New Roman" w:eastAsia="仿宋_GB2312" w:cs="Times New Roman"/>
          <w:sz w:val="32"/>
          <w:szCs w:val="32"/>
          <w:lang w:eastAsia="zh-CN"/>
        </w:rPr>
        <w:t>开展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具体制定过程如下：</w:t>
      </w:r>
    </w:p>
    <w:p w14:paraId="5FF878D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楷体" w:hAnsi="楷体" w:eastAsia="楷体" w:cs="楷体"/>
          <w:b w:val="0"/>
          <w:bCs w:val="0"/>
          <w:sz w:val="32"/>
          <w:lang w:val="en-US" w:eastAsia="zh-CN"/>
        </w:rPr>
        <w:t>1.</w:t>
      </w:r>
      <w:r>
        <w:rPr>
          <w:rFonts w:hint="default" w:ascii="楷体" w:hAnsi="楷体" w:eastAsia="楷体" w:cs="楷体"/>
          <w:b w:val="0"/>
          <w:bCs w:val="0"/>
          <w:sz w:val="32"/>
          <w:lang w:val="en-US" w:eastAsia="zh-CN"/>
        </w:rPr>
        <w:t>起草《管理办法》初稿。</w:t>
      </w:r>
      <w:r>
        <w:rPr>
          <w:rFonts w:hint="default" w:ascii="Times New Roman" w:hAnsi="Times New Roman" w:eastAsia="仿宋_GB2312" w:cs="Times New Roman"/>
          <w:sz w:val="32"/>
          <w:szCs w:val="32"/>
          <w:lang w:val="en-US" w:eastAsia="zh-CN"/>
        </w:rPr>
        <w:t>对照《中华人民共和国预算法》《江苏省财政厅关于印发财政专项资金管理制度参考格式文本的通知》</w:t>
      </w:r>
      <w:r>
        <w:rPr>
          <w:rFonts w:hint="eastAsia" w:ascii="Times New Roman" w:hAnsi="Times New Roman" w:eastAsia="仿宋_GB2312" w:cs="Times New Roman"/>
          <w:sz w:val="32"/>
          <w:szCs w:val="32"/>
          <w:lang w:val="en-US" w:eastAsia="zh-CN"/>
        </w:rPr>
        <w:t>《江苏省文化旅游发展和文物保护利用专项资金管理办法》《江苏省体育事业发展专项资金管理办法》</w:t>
      </w:r>
      <w:r>
        <w:rPr>
          <w:rFonts w:hint="default" w:ascii="Times New Roman" w:hAnsi="Times New Roman" w:eastAsia="仿宋_GB2312" w:cs="Times New Roman"/>
          <w:kern w:val="0"/>
          <w:sz w:val="32"/>
          <w:szCs w:val="32"/>
          <w:lang w:val="en-US" w:eastAsia="zh-CN"/>
        </w:rPr>
        <w:t>《苏州市市级财政专项资金管理办法》</w:t>
      </w:r>
      <w:r>
        <w:rPr>
          <w:rFonts w:hint="default" w:ascii="Times New Roman" w:hAnsi="Times New Roman" w:eastAsia="仿宋_GB2312" w:cs="Times New Roman"/>
          <w:sz w:val="32"/>
          <w:szCs w:val="32"/>
          <w:lang w:val="en-US" w:eastAsia="zh-CN"/>
        </w:rPr>
        <w:t>等规定，</w:t>
      </w:r>
      <w:r>
        <w:rPr>
          <w:rFonts w:hint="eastAsia" w:ascii="Times New Roman" w:hAnsi="Times New Roman" w:eastAsia="仿宋_GB2312" w:cs="Times New Roman"/>
          <w:sz w:val="32"/>
          <w:szCs w:val="32"/>
          <w:lang w:val="en-US" w:eastAsia="zh-CN"/>
        </w:rPr>
        <w:t>我们于2025年9月底</w:t>
      </w:r>
      <w:r>
        <w:rPr>
          <w:rFonts w:hint="default" w:ascii="Times New Roman" w:hAnsi="Times New Roman" w:eastAsia="仿宋_GB2312" w:cs="Times New Roman"/>
          <w:sz w:val="32"/>
          <w:szCs w:val="32"/>
          <w:lang w:val="en-US" w:eastAsia="zh-CN"/>
        </w:rPr>
        <w:t>完成《管理办法》初稿</w:t>
      </w:r>
      <w:r>
        <w:rPr>
          <w:rFonts w:hint="eastAsia" w:ascii="Times New Roman" w:hAnsi="Times New Roman" w:eastAsia="仿宋_GB2312" w:cs="Times New Roman"/>
          <w:sz w:val="32"/>
          <w:szCs w:val="32"/>
          <w:lang w:val="en-US" w:eastAsia="zh-CN"/>
        </w:rPr>
        <w:t>内容</w:t>
      </w:r>
      <w:r>
        <w:rPr>
          <w:rFonts w:hint="default" w:ascii="Times New Roman" w:hAnsi="Times New Roman" w:eastAsia="仿宋_GB2312" w:cs="Times New Roman"/>
          <w:sz w:val="32"/>
          <w:szCs w:val="32"/>
          <w:lang w:val="en-US" w:eastAsia="zh-CN"/>
        </w:rPr>
        <w:t>制定。</w:t>
      </w:r>
    </w:p>
    <w:p w14:paraId="3268107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楷体" w:hAnsi="楷体" w:eastAsia="楷体" w:cs="楷体"/>
          <w:b w:val="0"/>
          <w:bCs w:val="0"/>
          <w:sz w:val="32"/>
          <w:lang w:val="en-US" w:eastAsia="zh-CN"/>
        </w:rPr>
        <w:t>2.</w:t>
      </w:r>
      <w:r>
        <w:rPr>
          <w:rFonts w:hint="default" w:ascii="楷体" w:hAnsi="楷体" w:eastAsia="楷体" w:cs="楷体"/>
          <w:b w:val="0"/>
          <w:bCs w:val="0"/>
          <w:sz w:val="32"/>
          <w:lang w:val="en-US" w:eastAsia="zh-CN"/>
        </w:rPr>
        <w:t>广泛征求各方意见。</w:t>
      </w:r>
      <w:r>
        <w:rPr>
          <w:rFonts w:hint="default" w:ascii="Times New Roman" w:hAnsi="Times New Roman" w:eastAsia="仿宋_GB2312" w:cs="Times New Roman"/>
          <w:sz w:val="32"/>
          <w:szCs w:val="32"/>
          <w:lang w:val="en-US" w:eastAsia="zh-CN"/>
        </w:rPr>
        <w:t>10月</w:t>
      </w:r>
      <w:r>
        <w:rPr>
          <w:rFonts w:hint="eastAsia"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-10月24日</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向市文广旅局、市体育局、</w:t>
      </w:r>
      <w:r>
        <w:rPr>
          <w:rFonts w:hint="default" w:ascii="Times New Roman" w:hAnsi="Times New Roman" w:eastAsia="仿宋_GB2312" w:cs="Times New Roman"/>
          <w:sz w:val="32"/>
          <w:szCs w:val="32"/>
          <w:lang w:val="en-US" w:eastAsia="zh-CN"/>
        </w:rPr>
        <w:t>各县级市（区）财政部门及</w:t>
      </w:r>
      <w:r>
        <w:rPr>
          <w:rFonts w:hint="eastAsia" w:ascii="Times New Roman" w:hAnsi="Times New Roman" w:eastAsia="仿宋_GB2312" w:cs="Times New Roman"/>
          <w:sz w:val="32"/>
          <w:szCs w:val="32"/>
          <w:lang w:val="en-US" w:eastAsia="zh-CN"/>
        </w:rPr>
        <w:t>文体旅行政</w:t>
      </w:r>
      <w:r>
        <w:rPr>
          <w:rFonts w:hint="default" w:ascii="Times New Roman" w:hAnsi="Times New Roman" w:eastAsia="仿宋_GB2312" w:cs="Times New Roman"/>
          <w:sz w:val="32"/>
          <w:szCs w:val="32"/>
          <w:lang w:val="en-US" w:eastAsia="zh-CN"/>
        </w:rPr>
        <w:t>部门征求意见，</w:t>
      </w:r>
      <w:r>
        <w:rPr>
          <w:rFonts w:hint="eastAsia" w:ascii="Times New Roman" w:hAnsi="Times New Roman" w:eastAsia="仿宋_GB2312" w:cs="Times New Roman"/>
          <w:sz w:val="32"/>
          <w:szCs w:val="32"/>
          <w:lang w:val="en-US" w:eastAsia="zh-CN"/>
        </w:rPr>
        <w:t>共收到反馈意见12份，经研究全部采纳。10月27日，</w:t>
      </w:r>
      <w:r>
        <w:rPr>
          <w:rFonts w:hint="default" w:ascii="Times New Roman" w:hAnsi="Times New Roman" w:eastAsia="仿宋_GB2312" w:cs="Times New Roman"/>
          <w:sz w:val="32"/>
          <w:szCs w:val="32"/>
          <w:lang w:val="en-US" w:eastAsia="zh-CN"/>
        </w:rPr>
        <w:t>与项目主管部门</w:t>
      </w:r>
      <w:r>
        <w:rPr>
          <w:rFonts w:hint="eastAsia" w:ascii="Times New Roman" w:hAnsi="Times New Roman" w:eastAsia="仿宋_GB2312" w:cs="Times New Roman"/>
          <w:sz w:val="32"/>
          <w:szCs w:val="32"/>
          <w:lang w:val="en-US" w:eastAsia="zh-CN"/>
        </w:rPr>
        <w:t>市文广旅局、市体育局</w:t>
      </w:r>
      <w:r>
        <w:rPr>
          <w:rFonts w:hint="default" w:ascii="Times New Roman" w:hAnsi="Times New Roman" w:eastAsia="仿宋_GB2312" w:cs="Times New Roman"/>
          <w:sz w:val="32"/>
          <w:szCs w:val="32"/>
          <w:lang w:val="en-US" w:eastAsia="zh-CN"/>
        </w:rPr>
        <w:t>开展座谈，就初稿修订内容进行了充分沟</w:t>
      </w:r>
      <w:r>
        <w:rPr>
          <w:rFonts w:hint="default" w:ascii="Times New Roman" w:hAnsi="Times New Roman" w:eastAsia="仿宋_GB2312" w:cs="Times New Roman"/>
          <w:sz w:val="32"/>
          <w:szCs w:val="32"/>
          <w:highlight w:val="none"/>
          <w:lang w:val="en-US" w:eastAsia="zh-CN"/>
        </w:rPr>
        <w:t>通。11月3日—11月10日，向局各相关处室征求意见，共收到反馈意见</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lang w:val="en-US" w:eastAsia="zh-CN"/>
        </w:rPr>
        <w:t>条，经研究采纳</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lang w:val="en-US" w:eastAsia="zh-CN"/>
        </w:rPr>
        <w:t>条。11月3日—12月3日，在苏州市财政局网站公示《管理办法（征求意见稿）》，广泛征求社会意见。</w:t>
      </w:r>
      <w:r>
        <w:rPr>
          <w:rFonts w:hint="eastAsia" w:ascii="Times New Roman" w:hAnsi="Times New Roman" w:eastAsia="仿宋_GB2312" w:cs="Times New Roman"/>
          <w:sz w:val="32"/>
          <w:szCs w:val="32"/>
          <w:highlight w:val="none"/>
          <w:lang w:val="en-US" w:eastAsia="zh-CN"/>
        </w:rPr>
        <w:t>11月25日，征求了6位</w:t>
      </w:r>
      <w:r>
        <w:rPr>
          <w:rFonts w:hint="default" w:ascii="Times New Roman" w:hAnsi="Times New Roman" w:eastAsia="仿宋_GB2312" w:cs="Times New Roman"/>
          <w:sz w:val="32"/>
          <w:szCs w:val="32"/>
          <w:highlight w:val="none"/>
          <w:lang w:val="en-US" w:eastAsia="zh-CN"/>
        </w:rPr>
        <w:t>相关领域的专家意见</w:t>
      </w:r>
      <w:r>
        <w:rPr>
          <w:rFonts w:hint="eastAsia" w:ascii="Times New Roman" w:hAnsi="Times New Roman" w:eastAsia="仿宋_GB2312" w:cs="Times New Roman"/>
          <w:sz w:val="32"/>
          <w:szCs w:val="32"/>
          <w:highlight w:val="none"/>
          <w:lang w:val="en-US" w:eastAsia="zh-CN"/>
        </w:rPr>
        <w:t>及5家相关利益人意见</w:t>
      </w:r>
      <w:r>
        <w:rPr>
          <w:rFonts w:hint="default" w:ascii="Times New Roman" w:hAnsi="Times New Roman" w:eastAsia="仿宋_GB2312" w:cs="Times New Roman"/>
          <w:sz w:val="32"/>
          <w:szCs w:val="32"/>
          <w:highlight w:val="none"/>
          <w:lang w:val="en-US" w:eastAsia="zh-CN"/>
        </w:rPr>
        <w:t>，共收到反馈意见</w:t>
      </w:r>
      <w:r>
        <w:rPr>
          <w:rFonts w:hint="eastAsia"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lang w:val="en-US" w:eastAsia="zh-CN"/>
        </w:rPr>
        <w:t>条，经研究</w:t>
      </w:r>
      <w:r>
        <w:rPr>
          <w:rFonts w:hint="eastAsia" w:ascii="Times New Roman" w:hAnsi="Times New Roman" w:eastAsia="仿宋_GB2312" w:cs="Times New Roman"/>
          <w:sz w:val="32"/>
          <w:szCs w:val="32"/>
          <w:highlight w:val="none"/>
          <w:lang w:val="en-US" w:eastAsia="zh-CN"/>
        </w:rPr>
        <w:t>全部采纳。</w:t>
      </w:r>
    </w:p>
    <w:p w14:paraId="271C23A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楷体" w:hAnsi="楷体" w:eastAsia="楷体" w:cs="楷体"/>
          <w:b w:val="0"/>
          <w:bCs w:val="0"/>
          <w:sz w:val="32"/>
          <w:lang w:val="en-US" w:eastAsia="zh-CN"/>
        </w:rPr>
        <w:t>3.</w:t>
      </w:r>
      <w:r>
        <w:rPr>
          <w:rFonts w:hint="default" w:ascii="楷体" w:hAnsi="楷体" w:eastAsia="楷体" w:cs="楷体"/>
          <w:b w:val="0"/>
          <w:bCs w:val="0"/>
          <w:sz w:val="32"/>
          <w:lang w:val="en-US" w:eastAsia="zh-CN"/>
        </w:rPr>
        <w:t>组织风险评估。</w:t>
      </w:r>
      <w:r>
        <w:rPr>
          <w:rFonts w:hint="default" w:ascii="Times New Roman" w:hAnsi="Times New Roman" w:eastAsia="仿宋_GB2312" w:cs="Times New Roman"/>
          <w:sz w:val="32"/>
          <w:szCs w:val="32"/>
          <w:lang w:val="en-US" w:eastAsia="zh-CN"/>
        </w:rPr>
        <w:t>组织对《管理办法》主要内容进行全面分析评估，形成《苏州市财政局规范性文件风险分析评估表》。</w:t>
      </w:r>
      <w:r>
        <w:rPr>
          <w:rFonts w:hint="eastAsia" w:ascii="Times New Roman" w:hAnsi="Times New Roman" w:eastAsia="仿宋_GB2312" w:cs="Times New Roman"/>
          <w:sz w:val="32"/>
          <w:szCs w:val="32"/>
          <w:lang w:val="en-US" w:eastAsia="zh-CN"/>
        </w:rPr>
        <w:t>评估认为，</w:t>
      </w:r>
      <w:r>
        <w:rPr>
          <w:rFonts w:hint="default" w:ascii="Times New Roman" w:hAnsi="Times New Roman" w:eastAsia="仿宋_GB2312" w:cs="Times New Roman"/>
          <w:sz w:val="32"/>
          <w:szCs w:val="32"/>
          <w:lang w:val="en-US" w:eastAsia="zh-CN"/>
        </w:rPr>
        <w:t>本管理办法符合国家、省、市相关法律</w:t>
      </w:r>
      <w:r>
        <w:rPr>
          <w:rFonts w:hint="default" w:ascii="Times New Roman" w:hAnsi="Times New Roman" w:eastAsia="仿宋_GB2312" w:cs="Times New Roman"/>
          <w:sz w:val="32"/>
          <w:szCs w:val="32"/>
          <w:highlight w:val="none"/>
          <w:lang w:val="en-US" w:eastAsia="zh-CN"/>
        </w:rPr>
        <w:t>法规及政策精神，程序履行到位，内容设计系统，兼顾了各方利益与风险防控，具备合法性、合理性、可行性与</w:t>
      </w:r>
      <w:r>
        <w:rPr>
          <w:rFonts w:hint="eastAsia" w:ascii="Times New Roman" w:hAnsi="Times New Roman" w:eastAsia="仿宋_GB2312" w:cs="Times New Roman"/>
          <w:sz w:val="32"/>
          <w:szCs w:val="32"/>
          <w:highlight w:val="none"/>
          <w:lang w:val="en-US" w:eastAsia="zh-CN"/>
        </w:rPr>
        <w:t>风险</w:t>
      </w:r>
      <w:r>
        <w:rPr>
          <w:rFonts w:hint="default" w:ascii="Times New Roman" w:hAnsi="Times New Roman" w:eastAsia="仿宋_GB2312" w:cs="Times New Roman"/>
          <w:sz w:val="32"/>
          <w:szCs w:val="32"/>
          <w:highlight w:val="none"/>
          <w:lang w:val="en-US" w:eastAsia="zh-CN"/>
        </w:rPr>
        <w:t>可控性，建议按规定程序予以发布实施。</w:t>
      </w:r>
    </w:p>
    <w:p w14:paraId="25AA6CB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楷体" w:hAnsi="楷体" w:eastAsia="楷体" w:cs="楷体"/>
          <w:b w:val="0"/>
          <w:bCs w:val="0"/>
          <w:sz w:val="32"/>
          <w:highlight w:val="none"/>
          <w:lang w:val="en-US" w:eastAsia="zh-CN"/>
        </w:rPr>
        <w:t>4</w:t>
      </w:r>
      <w:r>
        <w:rPr>
          <w:rFonts w:hint="eastAsia" w:ascii="楷体" w:hAnsi="楷体" w:eastAsia="楷体" w:cs="楷体"/>
          <w:b w:val="0"/>
          <w:bCs w:val="0"/>
          <w:sz w:val="32"/>
          <w:highlight w:val="none"/>
          <w:lang w:val="en-US" w:eastAsia="zh-CN"/>
        </w:rPr>
        <w:t>.</w:t>
      </w:r>
      <w:r>
        <w:rPr>
          <w:rFonts w:hint="default" w:ascii="楷体" w:hAnsi="楷体" w:eastAsia="楷体" w:cs="楷体"/>
          <w:b w:val="0"/>
          <w:bCs w:val="0"/>
          <w:sz w:val="32"/>
          <w:highlight w:val="none"/>
          <w:lang w:val="en-US" w:eastAsia="zh-CN"/>
        </w:rPr>
        <w:t>开展公平竞争审查。</w:t>
      </w:r>
      <w:r>
        <w:rPr>
          <w:rFonts w:hint="default" w:ascii="Times New Roman" w:hAnsi="Times New Roman" w:eastAsia="仿宋_GB2312" w:cs="Times New Roman"/>
          <w:sz w:val="32"/>
          <w:szCs w:val="32"/>
          <w:highlight w:val="none"/>
          <w:lang w:val="en-US" w:eastAsia="zh-CN"/>
        </w:rPr>
        <w:t>按照局公平竞争审查制度实施细则的要求，对《管理办法》主要内容开展公平竞争审查。审查认为，《管理办法》没有含有违反审查标准的内容，不会对公平竞争产生不利影响。</w:t>
      </w:r>
    </w:p>
    <w:p w14:paraId="5781B08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楷体" w:hAnsi="楷体" w:eastAsia="楷体" w:cs="楷体"/>
          <w:b w:val="0"/>
          <w:bCs w:val="0"/>
          <w:sz w:val="32"/>
          <w:highlight w:val="none"/>
          <w:lang w:val="en-US" w:eastAsia="zh-CN"/>
        </w:rPr>
        <w:t>5</w:t>
      </w:r>
      <w:r>
        <w:rPr>
          <w:rFonts w:hint="eastAsia" w:ascii="楷体" w:hAnsi="楷体" w:eastAsia="楷体" w:cs="楷体"/>
          <w:b w:val="0"/>
          <w:bCs w:val="0"/>
          <w:sz w:val="32"/>
          <w:highlight w:val="none"/>
          <w:lang w:val="en-US" w:eastAsia="zh-CN"/>
        </w:rPr>
        <w:t>.</w:t>
      </w:r>
      <w:r>
        <w:rPr>
          <w:rFonts w:hint="default" w:ascii="楷体" w:hAnsi="楷体" w:eastAsia="楷体" w:cs="楷体"/>
          <w:b w:val="0"/>
          <w:bCs w:val="0"/>
          <w:sz w:val="32"/>
          <w:highlight w:val="none"/>
          <w:lang w:val="en-US" w:eastAsia="zh-CN"/>
        </w:rPr>
        <w:t>开展合法性审查。</w:t>
      </w:r>
      <w:r>
        <w:rPr>
          <w:rFonts w:hint="default" w:ascii="Times New Roman" w:hAnsi="Times New Roman" w:eastAsia="仿宋_GB2312" w:cs="Times New Roman"/>
          <w:sz w:val="32"/>
          <w:szCs w:val="32"/>
          <w:highlight w:val="none"/>
          <w:lang w:val="en-US" w:eastAsia="zh-CN"/>
        </w:rPr>
        <w:t>局法规处对《管理办法》进行合法性审查。根据审查建议，对《管理办法》相关内容进行修改。审核认为，《管理办法》符合合法性</w:t>
      </w:r>
      <w:r>
        <w:rPr>
          <w:rFonts w:hint="eastAsia" w:ascii="Times New Roman" w:hAnsi="Times New Roman" w:eastAsia="仿宋_GB2312" w:cs="Times New Roman"/>
          <w:sz w:val="32"/>
          <w:szCs w:val="32"/>
          <w:highlight w:val="none"/>
          <w:lang w:val="en-US" w:eastAsia="zh-CN"/>
        </w:rPr>
        <w:t>审查</w:t>
      </w:r>
      <w:r>
        <w:rPr>
          <w:rFonts w:hint="default" w:ascii="Times New Roman" w:hAnsi="Times New Roman" w:eastAsia="仿宋_GB2312" w:cs="Times New Roman"/>
          <w:sz w:val="32"/>
          <w:szCs w:val="32"/>
          <w:highlight w:val="none"/>
          <w:lang w:val="en-US" w:eastAsia="zh-CN"/>
        </w:rPr>
        <w:t>要求。</w:t>
      </w:r>
    </w:p>
    <w:p w14:paraId="06390C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楷体" w:hAnsi="楷体" w:eastAsia="楷体" w:cs="楷体"/>
          <w:b w:val="0"/>
          <w:bCs w:val="0"/>
          <w:sz w:val="32"/>
          <w:highlight w:val="none"/>
          <w:lang w:val="en-US" w:eastAsia="zh-CN"/>
        </w:rPr>
        <w:t>6.</w:t>
      </w:r>
      <w:r>
        <w:rPr>
          <w:rFonts w:hint="default" w:ascii="楷体" w:hAnsi="楷体" w:eastAsia="楷体" w:cs="楷体"/>
          <w:b w:val="0"/>
          <w:bCs w:val="0"/>
          <w:sz w:val="32"/>
          <w:highlight w:val="none"/>
          <w:lang w:val="en-US" w:eastAsia="zh-CN"/>
        </w:rPr>
        <w:t>开展</w:t>
      </w:r>
      <w:r>
        <w:rPr>
          <w:rFonts w:hint="eastAsia" w:ascii="楷体" w:hAnsi="楷体" w:eastAsia="楷体" w:cs="楷体"/>
          <w:b w:val="0"/>
          <w:bCs w:val="0"/>
          <w:sz w:val="32"/>
          <w:highlight w:val="none"/>
          <w:lang w:val="en-US" w:eastAsia="zh-CN"/>
        </w:rPr>
        <w:t>廉洁性审查</w:t>
      </w:r>
      <w:r>
        <w:rPr>
          <w:rFonts w:hint="default" w:ascii="楷体" w:hAnsi="楷体" w:eastAsia="楷体" w:cs="楷体"/>
          <w:b w:val="0"/>
          <w:bCs w:val="0"/>
          <w:sz w:val="32"/>
          <w:highlight w:val="none"/>
          <w:lang w:val="en-US" w:eastAsia="zh-CN"/>
        </w:rPr>
        <w:t>。</w:t>
      </w:r>
      <w:r>
        <w:rPr>
          <w:rFonts w:hint="eastAsia" w:ascii="Times New Roman" w:hAnsi="Times New Roman" w:eastAsia="仿宋_GB2312" w:cs="Times New Roman"/>
          <w:sz w:val="32"/>
          <w:szCs w:val="32"/>
          <w:highlight w:val="none"/>
          <w:lang w:val="en-US" w:eastAsia="zh-CN"/>
        </w:rPr>
        <w:t>派驻纪检监察组对《管理办法》主要内容开展廉洁性审查。审查认为，《管理办法》符合廉洁性审查要求。</w:t>
      </w:r>
    </w:p>
    <w:p w14:paraId="1527BE9E">
      <w:pPr>
        <w:spacing w:line="560" w:lineRule="exact"/>
        <w:ind w:firstLine="640" w:firstLineChars="200"/>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楷体_GB2312" w:cs="Times New Roman"/>
          <w:sz w:val="32"/>
          <w:szCs w:val="32"/>
          <w:lang w:val="en-US" w:eastAsia="zh-CN"/>
        </w:rPr>
        <w:t>提交局领导班子集体决策。</w:t>
      </w:r>
      <w:r>
        <w:rPr>
          <w:rFonts w:hint="default" w:ascii="Times New Roman" w:hAnsi="Times New Roman" w:eastAsia="仿宋_GB2312" w:cs="Times New Roman"/>
          <w:sz w:val="32"/>
          <w:szCs w:val="32"/>
          <w:lang w:val="en-US" w:eastAsia="zh-CN"/>
        </w:rPr>
        <w:t>将《管理办法》提交</w:t>
      </w:r>
      <w:r>
        <w:rPr>
          <w:rFonts w:hint="eastAsia" w:ascii="Times New Roman" w:hAnsi="Times New Roman" w:eastAsia="仿宋_GB2312" w:cs="Times New Roman"/>
          <w:sz w:val="32"/>
          <w:szCs w:val="32"/>
          <w:lang w:val="en-US" w:eastAsia="zh-CN"/>
        </w:rPr>
        <w:t>局长办公会</w:t>
      </w:r>
      <w:r>
        <w:rPr>
          <w:rFonts w:hint="default" w:ascii="Times New Roman" w:hAnsi="Times New Roman" w:eastAsia="仿宋_GB2312" w:cs="Times New Roman"/>
          <w:sz w:val="32"/>
          <w:szCs w:val="32"/>
          <w:lang w:val="en-US" w:eastAsia="zh-CN"/>
        </w:rPr>
        <w:t>讨论并审议通过，</w:t>
      </w:r>
      <w:r>
        <w:rPr>
          <w:rFonts w:hint="eastAsia" w:ascii="Times New Roman" w:hAnsi="Times New Roman" w:eastAsia="仿宋_GB2312" w:cs="Times New Roman"/>
          <w:sz w:val="32"/>
          <w:szCs w:val="32"/>
          <w:lang w:val="en-US" w:eastAsia="zh-CN"/>
        </w:rPr>
        <w:t>要求</w:t>
      </w:r>
      <w:r>
        <w:rPr>
          <w:rFonts w:hint="default" w:ascii="Times New Roman" w:hAnsi="Times New Roman" w:eastAsia="仿宋_GB2312" w:cs="Times New Roman"/>
          <w:sz w:val="32"/>
          <w:szCs w:val="32"/>
          <w:lang w:val="en-US" w:eastAsia="zh-CN"/>
        </w:rPr>
        <w:t>按规定流程印发。</w:t>
      </w:r>
    </w:p>
    <w:p w14:paraId="3F37AD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四、参考</w:t>
      </w:r>
      <w:r>
        <w:rPr>
          <w:rFonts w:hint="default" w:ascii="Times New Roman" w:hAnsi="Times New Roman" w:eastAsia="黑体" w:cs="Times New Roman"/>
          <w:sz w:val="32"/>
          <w:szCs w:val="32"/>
        </w:rPr>
        <w:t>依据</w:t>
      </w:r>
    </w:p>
    <w:p w14:paraId="615C458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lang w:val="en-US" w:eastAsia="zh-CN"/>
        </w:rPr>
        <w:t>《中华人民共和国预算法》</w:t>
      </w:r>
    </w:p>
    <w:p w14:paraId="2DF7516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2</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《中华人民共和国预算法实施条例》</w:t>
      </w:r>
    </w:p>
    <w:p w14:paraId="6A193D5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《江苏省文化旅游发展和文物保护利用专项资金管理办法》（苏财规〔2023〕4号）</w:t>
      </w:r>
    </w:p>
    <w:p w14:paraId="2C5ED132">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4.《江苏省宣传文化发展专项资金管理办法》（苏财规〔2023〕6号）</w:t>
      </w:r>
    </w:p>
    <w:p w14:paraId="31AE317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江苏省体育事业发展专项资金管理办法》（苏财规〔2021〕4号）</w:t>
      </w:r>
    </w:p>
    <w:p w14:paraId="1C25655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kern w:val="0"/>
          <w:sz w:val="32"/>
          <w:szCs w:val="32"/>
          <w:lang w:val="en-US" w:eastAsia="zh-CN"/>
        </w:rPr>
      </w:pPr>
      <w:r>
        <w:rPr>
          <w:rFonts w:hint="eastAsia" w:ascii="Times New Roman" w:hAnsi="Times New Roman" w:eastAsia="仿宋_GB2312" w:cs="Times New Roman"/>
          <w:kern w:val="0"/>
          <w:sz w:val="32"/>
          <w:szCs w:val="32"/>
          <w:lang w:val="en-US" w:eastAsia="zh-CN"/>
        </w:rPr>
        <w:t>6.</w:t>
      </w:r>
      <w:r>
        <w:rPr>
          <w:rFonts w:hint="default" w:ascii="Times New Roman" w:hAnsi="Times New Roman" w:eastAsia="仿宋_GB2312" w:cs="Times New Roman"/>
          <w:kern w:val="0"/>
          <w:sz w:val="32"/>
          <w:szCs w:val="32"/>
          <w:lang w:val="en-US" w:eastAsia="zh-CN"/>
        </w:rPr>
        <w:t>《江苏省省级财政专项资金信用管理办法》（苏财规〔2024〕8号）</w:t>
      </w:r>
    </w:p>
    <w:p w14:paraId="7AE9E8F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kern w:val="0"/>
          <w:sz w:val="32"/>
          <w:szCs w:val="32"/>
          <w:lang w:val="en-US" w:eastAsia="zh-CN"/>
        </w:rPr>
        <w:t>7.</w:t>
      </w:r>
      <w:r>
        <w:rPr>
          <w:rFonts w:hint="default" w:ascii="Times New Roman" w:hAnsi="Times New Roman" w:eastAsia="仿宋_GB2312" w:cs="Times New Roman"/>
          <w:kern w:val="0"/>
          <w:sz w:val="32"/>
          <w:szCs w:val="32"/>
          <w:lang w:val="en-US" w:eastAsia="zh-CN"/>
        </w:rPr>
        <w:t>《苏州市市级财政专项资金管理办法》（苏府规字〔2021〕9号）</w:t>
      </w:r>
    </w:p>
    <w:p w14:paraId="13EB1B0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p>
    <w:p w14:paraId="377CABE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p>
    <w:p w14:paraId="2DB8189B">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right"/>
        <w:textAlignment w:val="auto"/>
        <w:rPr>
          <w:rFonts w:ascii="仿宋" w:hAnsi="仿宋" w:eastAsia="仿宋" w:cs="仿宋_GB2312"/>
          <w:sz w:val="32"/>
          <w:szCs w:val="32"/>
        </w:rPr>
      </w:pPr>
    </w:p>
    <w:sectPr>
      <w:footerReference r:id="rId3" w:type="default"/>
      <w:pgSz w:w="11906" w:h="16838"/>
      <w:pgMar w:top="1327" w:right="1633" w:bottom="1327" w:left="1689"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swiss"/>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764E6">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0561C">
                          <w:pPr>
                            <w:pStyle w:val="3"/>
                          </w:pPr>
                          <w:r>
                            <w:t>—</w:t>
                          </w: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D0561C">
                    <w:pPr>
                      <w:pStyle w:val="3"/>
                    </w:pPr>
                    <w:r>
                      <w:t>—</w:t>
                    </w:r>
                    <w:r>
                      <w:rPr>
                        <w:rFonts w:hint="default" w:ascii="Times New Roman" w:hAnsi="Times New Roman" w:cs="Times New Roman"/>
                        <w:sz w:val="30"/>
                        <w:szCs w:val="30"/>
                      </w:rP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default" w:ascii="Times New Roman" w:hAnsi="Times New Roman" w:cs="Times New Roman"/>
                        <w:sz w:val="30"/>
                        <w:szCs w:val="30"/>
                      </w:rPr>
                      <w:t xml:space="preserve"> </w:t>
                    </w:r>
                    <w:r>
                      <w:t>—</w:t>
                    </w:r>
                  </w:p>
                </w:txbxContent>
              </v:textbox>
            </v:shape>
          </w:pict>
        </mc:Fallback>
      </mc:AlternateContent>
    </w:r>
  </w:p>
  <w:p w14:paraId="628E23D3">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D9F"/>
    <w:rsid w:val="0000018E"/>
    <w:rsid w:val="000032DE"/>
    <w:rsid w:val="000118DB"/>
    <w:rsid w:val="00034B9D"/>
    <w:rsid w:val="000A4CC9"/>
    <w:rsid w:val="000D4912"/>
    <w:rsid w:val="000D5F8E"/>
    <w:rsid w:val="000D6FF7"/>
    <w:rsid w:val="001343B0"/>
    <w:rsid w:val="00153BEC"/>
    <w:rsid w:val="00165859"/>
    <w:rsid w:val="0019500C"/>
    <w:rsid w:val="001B3669"/>
    <w:rsid w:val="001C6573"/>
    <w:rsid w:val="001D5BFF"/>
    <w:rsid w:val="00264609"/>
    <w:rsid w:val="0028719B"/>
    <w:rsid w:val="002C4F2A"/>
    <w:rsid w:val="002C534E"/>
    <w:rsid w:val="00392CA1"/>
    <w:rsid w:val="003959F0"/>
    <w:rsid w:val="003A1958"/>
    <w:rsid w:val="003A5128"/>
    <w:rsid w:val="003E4B63"/>
    <w:rsid w:val="003F2947"/>
    <w:rsid w:val="00401B0B"/>
    <w:rsid w:val="00403B2E"/>
    <w:rsid w:val="00496369"/>
    <w:rsid w:val="004B72FC"/>
    <w:rsid w:val="004E0520"/>
    <w:rsid w:val="004F2A2C"/>
    <w:rsid w:val="004F7832"/>
    <w:rsid w:val="0053763E"/>
    <w:rsid w:val="005641CA"/>
    <w:rsid w:val="005A3B55"/>
    <w:rsid w:val="00633A60"/>
    <w:rsid w:val="00672196"/>
    <w:rsid w:val="00683C42"/>
    <w:rsid w:val="00736607"/>
    <w:rsid w:val="007A4910"/>
    <w:rsid w:val="00805ABC"/>
    <w:rsid w:val="00853B2F"/>
    <w:rsid w:val="0087506C"/>
    <w:rsid w:val="00890860"/>
    <w:rsid w:val="008E63C8"/>
    <w:rsid w:val="009111E0"/>
    <w:rsid w:val="00913BD0"/>
    <w:rsid w:val="009236F1"/>
    <w:rsid w:val="00926DE1"/>
    <w:rsid w:val="009651B4"/>
    <w:rsid w:val="009E70F5"/>
    <w:rsid w:val="00A07888"/>
    <w:rsid w:val="00A426B1"/>
    <w:rsid w:val="00A549D9"/>
    <w:rsid w:val="00A60A8C"/>
    <w:rsid w:val="00A615E7"/>
    <w:rsid w:val="00AA3475"/>
    <w:rsid w:val="00AB1A69"/>
    <w:rsid w:val="00AC3169"/>
    <w:rsid w:val="00B74D24"/>
    <w:rsid w:val="00C21D9F"/>
    <w:rsid w:val="00C4177F"/>
    <w:rsid w:val="00C51F40"/>
    <w:rsid w:val="00C5643C"/>
    <w:rsid w:val="00CD61AC"/>
    <w:rsid w:val="00D2220C"/>
    <w:rsid w:val="00D74304"/>
    <w:rsid w:val="00D97456"/>
    <w:rsid w:val="00DA0609"/>
    <w:rsid w:val="00DC5CD4"/>
    <w:rsid w:val="00DD1CC6"/>
    <w:rsid w:val="00E1088A"/>
    <w:rsid w:val="00E430BE"/>
    <w:rsid w:val="00E51A86"/>
    <w:rsid w:val="00EA14C4"/>
    <w:rsid w:val="00EB18CB"/>
    <w:rsid w:val="00ED03AE"/>
    <w:rsid w:val="00EF6532"/>
    <w:rsid w:val="00FA3A6A"/>
    <w:rsid w:val="00FA482D"/>
    <w:rsid w:val="00FB0903"/>
    <w:rsid w:val="00FB18A5"/>
    <w:rsid w:val="00FD2779"/>
    <w:rsid w:val="00FD6A8F"/>
    <w:rsid w:val="022A3689"/>
    <w:rsid w:val="02A227A1"/>
    <w:rsid w:val="03B71A91"/>
    <w:rsid w:val="048605CC"/>
    <w:rsid w:val="05522D89"/>
    <w:rsid w:val="07647CE3"/>
    <w:rsid w:val="09EA11A4"/>
    <w:rsid w:val="0A2952E4"/>
    <w:rsid w:val="0A8E05BB"/>
    <w:rsid w:val="0AC0410C"/>
    <w:rsid w:val="0ACE2983"/>
    <w:rsid w:val="0DDA752B"/>
    <w:rsid w:val="0DF2282E"/>
    <w:rsid w:val="0E76345F"/>
    <w:rsid w:val="0F4C3F4E"/>
    <w:rsid w:val="10831E63"/>
    <w:rsid w:val="140E2BA2"/>
    <w:rsid w:val="14963304"/>
    <w:rsid w:val="152E1967"/>
    <w:rsid w:val="157755C3"/>
    <w:rsid w:val="16BE3BF5"/>
    <w:rsid w:val="17017F86"/>
    <w:rsid w:val="17E23913"/>
    <w:rsid w:val="18E37943"/>
    <w:rsid w:val="195E521C"/>
    <w:rsid w:val="19C32A87"/>
    <w:rsid w:val="1ADB7C1E"/>
    <w:rsid w:val="1BE05059"/>
    <w:rsid w:val="1CA05B4B"/>
    <w:rsid w:val="1D037172"/>
    <w:rsid w:val="1D051D6B"/>
    <w:rsid w:val="1D17625B"/>
    <w:rsid w:val="1D7F1C04"/>
    <w:rsid w:val="1D922B81"/>
    <w:rsid w:val="220169CC"/>
    <w:rsid w:val="25DD29C1"/>
    <w:rsid w:val="2762237B"/>
    <w:rsid w:val="285D6E90"/>
    <w:rsid w:val="2A2A1886"/>
    <w:rsid w:val="2A697EC4"/>
    <w:rsid w:val="2A81520E"/>
    <w:rsid w:val="2BB62D59"/>
    <w:rsid w:val="2C620E41"/>
    <w:rsid w:val="2CE939C3"/>
    <w:rsid w:val="2D0A39F6"/>
    <w:rsid w:val="2DC80C2C"/>
    <w:rsid w:val="2E07419A"/>
    <w:rsid w:val="2E2E1209"/>
    <w:rsid w:val="2F0D0E1E"/>
    <w:rsid w:val="2F6B1FE9"/>
    <w:rsid w:val="31DD2473"/>
    <w:rsid w:val="334E0213"/>
    <w:rsid w:val="34B37CF7"/>
    <w:rsid w:val="353115DE"/>
    <w:rsid w:val="354F3741"/>
    <w:rsid w:val="360F36CE"/>
    <w:rsid w:val="38082ACA"/>
    <w:rsid w:val="38743CBC"/>
    <w:rsid w:val="3AD932F8"/>
    <w:rsid w:val="3B2D275B"/>
    <w:rsid w:val="3B742225"/>
    <w:rsid w:val="3BF11D86"/>
    <w:rsid w:val="3BF41D64"/>
    <w:rsid w:val="3D2C2DB7"/>
    <w:rsid w:val="3E80785E"/>
    <w:rsid w:val="40350362"/>
    <w:rsid w:val="42187DAE"/>
    <w:rsid w:val="438029C8"/>
    <w:rsid w:val="4413082D"/>
    <w:rsid w:val="45674B38"/>
    <w:rsid w:val="46496788"/>
    <w:rsid w:val="469F284C"/>
    <w:rsid w:val="46C6602A"/>
    <w:rsid w:val="47452A0A"/>
    <w:rsid w:val="48080379"/>
    <w:rsid w:val="483416BA"/>
    <w:rsid w:val="487934E4"/>
    <w:rsid w:val="48934632"/>
    <w:rsid w:val="48AD1C07"/>
    <w:rsid w:val="48F36E7F"/>
    <w:rsid w:val="492E7EB7"/>
    <w:rsid w:val="4A2F7526"/>
    <w:rsid w:val="4B661B8A"/>
    <w:rsid w:val="4D626ED4"/>
    <w:rsid w:val="4E9662CD"/>
    <w:rsid w:val="4E9C3B15"/>
    <w:rsid w:val="50A21754"/>
    <w:rsid w:val="50CE0FCD"/>
    <w:rsid w:val="5174758B"/>
    <w:rsid w:val="52087684"/>
    <w:rsid w:val="53590226"/>
    <w:rsid w:val="53CE769A"/>
    <w:rsid w:val="54EC499D"/>
    <w:rsid w:val="559772D7"/>
    <w:rsid w:val="55BB3337"/>
    <w:rsid w:val="56372BD5"/>
    <w:rsid w:val="567C04B4"/>
    <w:rsid w:val="56A96DCF"/>
    <w:rsid w:val="56B063AF"/>
    <w:rsid w:val="586631C9"/>
    <w:rsid w:val="59815DE1"/>
    <w:rsid w:val="599E52C5"/>
    <w:rsid w:val="59C52B8D"/>
    <w:rsid w:val="5DAB5B22"/>
    <w:rsid w:val="5DE975A6"/>
    <w:rsid w:val="5E82349F"/>
    <w:rsid w:val="5FBA6D9A"/>
    <w:rsid w:val="60C70EC5"/>
    <w:rsid w:val="64030466"/>
    <w:rsid w:val="647E5D3F"/>
    <w:rsid w:val="650955EA"/>
    <w:rsid w:val="65613696"/>
    <w:rsid w:val="673D77EB"/>
    <w:rsid w:val="67D5408A"/>
    <w:rsid w:val="686E1C26"/>
    <w:rsid w:val="690A5DF3"/>
    <w:rsid w:val="6A3550C1"/>
    <w:rsid w:val="6A955B90"/>
    <w:rsid w:val="6C842524"/>
    <w:rsid w:val="6D183479"/>
    <w:rsid w:val="6E677844"/>
    <w:rsid w:val="706F478E"/>
    <w:rsid w:val="708C65D4"/>
    <w:rsid w:val="708C7A6D"/>
    <w:rsid w:val="727147ED"/>
    <w:rsid w:val="739D60AD"/>
    <w:rsid w:val="73E62FB9"/>
    <w:rsid w:val="757D557C"/>
    <w:rsid w:val="76DE3E86"/>
    <w:rsid w:val="7C217284"/>
    <w:rsid w:val="7DEB5D9B"/>
    <w:rsid w:val="7EEB5927"/>
    <w:rsid w:val="7F466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8">
    <w:name w:val="页眉 Char"/>
    <w:basedOn w:val="7"/>
    <w:link w:val="4"/>
    <w:semiHidden/>
    <w:qFormat/>
    <w:uiPriority w:val="99"/>
    <w:rPr>
      <w:rFonts w:ascii="Calibri" w:hAnsi="Calibri" w:eastAsia="宋体" w:cs="Times New Roman"/>
      <w:sz w:val="18"/>
      <w:szCs w:val="18"/>
    </w:rPr>
  </w:style>
  <w:style w:type="character" w:customStyle="1" w:styleId="9">
    <w:name w:val="页脚 Char"/>
    <w:basedOn w:val="7"/>
    <w:link w:val="3"/>
    <w:qFormat/>
    <w:uiPriority w:val="99"/>
    <w:rPr>
      <w:rFonts w:ascii="Calibri" w:hAnsi="Calibri" w:eastAsia="宋体" w:cs="Times New Roman"/>
      <w:sz w:val="18"/>
      <w:szCs w:val="18"/>
    </w:rPr>
  </w:style>
  <w:style w:type="character" w:customStyle="1" w:styleId="10">
    <w:name w:val="批注框文本 Char"/>
    <w:basedOn w:val="7"/>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Pages>
  <Words>1543</Words>
  <Characters>1614</Characters>
  <Lines>16</Lines>
  <Paragraphs>4</Paragraphs>
  <TotalTime>0</TotalTime>
  <ScaleCrop>false</ScaleCrop>
  <LinksUpToDate>false</LinksUpToDate>
  <CharactersWithSpaces>1614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2020-12-31T05:33:00Z</dcterms:created>
  <dc:creator>user</dc:creator>
  <cp:lastModifiedBy>甍深</cp:lastModifiedBy>
  <cp:lastPrinted>2025-12-25T01:55:00Z</cp:lastPrinted>
  <dcterms:modified xsi:type="dcterms:W3CDTF">2026-03-03T08:54:08Z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eyJoZGlkIjoiZTliY2FhODU4ZDUzZWI0OTI2NDE0MjIwMzFlNzZkNTAiLCJ1c2VySWQiOiIyNDg0NDY1NTkifQ==</vt:lpwstr>
  </property>
  <property fmtid="{D5CDD505-2E9C-101B-9397-08002B2CF9AE}" pid="4" name="ICV">
    <vt:lpwstr>D261C7DE938F4A3C99D1B17B336864E3_13</vt:lpwstr>
  </property>
</Properties>
</file>