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A8FB7">
      <w:pPr>
        <w:rPr>
          <w:rFonts w:ascii="Times New Roman" w:hAnsi="Times New Roman" w:eastAsia="黑体"/>
          <w:sz w:val="32"/>
          <w:szCs w:val="32"/>
        </w:rPr>
      </w:pPr>
      <w:r>
        <w:rPr>
          <w:rFonts w:ascii="Times New Roman" w:hAnsi="黑体" w:eastAsia="黑体"/>
          <w:sz w:val="32"/>
          <w:szCs w:val="32"/>
        </w:rPr>
        <w:t>附件</w:t>
      </w:r>
    </w:p>
    <w:p w14:paraId="15B5C203">
      <w:pPr>
        <w:jc w:val="center"/>
        <w:rPr>
          <w:rFonts w:ascii="Times New Roman" w:hAnsi="Times New Roman" w:eastAsia="仿宋_GB2312"/>
          <w:sz w:val="32"/>
          <w:szCs w:val="32"/>
        </w:rPr>
      </w:pPr>
      <w:r>
        <w:rPr>
          <w:rFonts w:hint="eastAsia" w:ascii="Times New Roman" w:hAnsi="Times New Roman" w:eastAsia="方正小标宋简体"/>
          <w:sz w:val="44"/>
          <w:szCs w:val="44"/>
          <w:lang w:val="en-US" w:eastAsia="zh-CN"/>
        </w:rPr>
        <w:t>苏州市财政</w:t>
      </w:r>
      <w:r>
        <w:rPr>
          <w:rFonts w:ascii="Times New Roman" w:hAnsi="Times New Roman" w:eastAsia="方正小标宋简体"/>
          <w:sz w:val="44"/>
          <w:szCs w:val="44"/>
        </w:rPr>
        <w:t>局行政检查事项清单</w:t>
      </w:r>
    </w:p>
    <w:tbl>
      <w:tblPr>
        <w:tblStyle w:val="6"/>
        <w:tblW w:w="14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545"/>
        <w:gridCol w:w="1200"/>
        <w:gridCol w:w="1320"/>
        <w:gridCol w:w="1290"/>
        <w:gridCol w:w="5295"/>
        <w:gridCol w:w="1020"/>
        <w:gridCol w:w="1140"/>
        <w:gridCol w:w="760"/>
      </w:tblGrid>
      <w:tr w14:paraId="5FFC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blHeader/>
          <w:jc w:val="center"/>
        </w:trPr>
        <w:tc>
          <w:tcPr>
            <w:tcW w:w="546" w:type="dxa"/>
            <w:vMerge w:val="restart"/>
            <w:vAlign w:val="center"/>
          </w:tcPr>
          <w:p w14:paraId="42985B76">
            <w:pPr>
              <w:jc w:val="center"/>
              <w:rPr>
                <w:rFonts w:ascii="Times New Roman" w:hAnsi="Times New Roman" w:eastAsia="黑体"/>
                <w:kern w:val="0"/>
                <w:sz w:val="24"/>
              </w:rPr>
            </w:pPr>
            <w:r>
              <w:rPr>
                <w:rFonts w:ascii="Times New Roman" w:hAnsi="黑体" w:eastAsia="黑体"/>
                <w:kern w:val="0"/>
                <w:sz w:val="24"/>
              </w:rPr>
              <w:t>序号</w:t>
            </w:r>
          </w:p>
        </w:tc>
        <w:tc>
          <w:tcPr>
            <w:tcW w:w="1545" w:type="dxa"/>
            <w:vMerge w:val="restart"/>
            <w:vAlign w:val="center"/>
          </w:tcPr>
          <w:p w14:paraId="15DACD16">
            <w:pPr>
              <w:jc w:val="center"/>
              <w:rPr>
                <w:rFonts w:ascii="Times New Roman" w:hAnsi="Times New Roman" w:eastAsia="黑体"/>
                <w:kern w:val="0"/>
                <w:sz w:val="24"/>
              </w:rPr>
            </w:pPr>
            <w:r>
              <w:rPr>
                <w:rFonts w:ascii="Times New Roman" w:hAnsi="黑体" w:eastAsia="黑体"/>
                <w:kern w:val="0"/>
                <w:sz w:val="24"/>
              </w:rPr>
              <w:t>检查事项</w:t>
            </w:r>
          </w:p>
        </w:tc>
        <w:tc>
          <w:tcPr>
            <w:tcW w:w="1200" w:type="dxa"/>
            <w:vMerge w:val="restart"/>
            <w:vAlign w:val="center"/>
          </w:tcPr>
          <w:p w14:paraId="1FBEB3C2">
            <w:pPr>
              <w:jc w:val="center"/>
              <w:rPr>
                <w:rFonts w:ascii="Times New Roman" w:hAnsi="Times New Roman" w:eastAsia="黑体"/>
                <w:kern w:val="0"/>
                <w:sz w:val="24"/>
              </w:rPr>
            </w:pPr>
            <w:r>
              <w:rPr>
                <w:rFonts w:ascii="Times New Roman" w:hAnsi="黑体" w:eastAsia="黑体"/>
                <w:kern w:val="0"/>
                <w:sz w:val="24"/>
              </w:rPr>
              <w:t>检查主体</w:t>
            </w:r>
          </w:p>
        </w:tc>
        <w:tc>
          <w:tcPr>
            <w:tcW w:w="1320" w:type="dxa"/>
            <w:vMerge w:val="restart"/>
            <w:vAlign w:val="center"/>
          </w:tcPr>
          <w:p w14:paraId="5B4F4C2A">
            <w:pPr>
              <w:jc w:val="center"/>
              <w:rPr>
                <w:rFonts w:ascii="Times New Roman" w:hAnsi="Times New Roman" w:eastAsia="黑体"/>
                <w:kern w:val="0"/>
                <w:sz w:val="24"/>
              </w:rPr>
            </w:pPr>
            <w:r>
              <w:rPr>
                <w:rFonts w:ascii="Times New Roman" w:hAnsi="黑体" w:eastAsia="黑体"/>
                <w:kern w:val="0"/>
                <w:sz w:val="24"/>
              </w:rPr>
              <w:t>检查机构</w:t>
            </w:r>
          </w:p>
        </w:tc>
        <w:tc>
          <w:tcPr>
            <w:tcW w:w="1290" w:type="dxa"/>
            <w:vMerge w:val="restart"/>
            <w:vAlign w:val="center"/>
          </w:tcPr>
          <w:p w14:paraId="5D955D72">
            <w:pPr>
              <w:jc w:val="center"/>
              <w:rPr>
                <w:rFonts w:ascii="Times New Roman" w:hAnsi="Times New Roman" w:eastAsia="黑体"/>
                <w:kern w:val="0"/>
                <w:sz w:val="24"/>
              </w:rPr>
            </w:pPr>
            <w:r>
              <w:rPr>
                <w:rFonts w:ascii="Times New Roman" w:hAnsi="黑体" w:eastAsia="黑体"/>
                <w:kern w:val="0"/>
                <w:sz w:val="24"/>
              </w:rPr>
              <w:t>检查对象</w:t>
            </w:r>
          </w:p>
        </w:tc>
        <w:tc>
          <w:tcPr>
            <w:tcW w:w="5295" w:type="dxa"/>
            <w:vMerge w:val="restart"/>
            <w:vAlign w:val="center"/>
          </w:tcPr>
          <w:p w14:paraId="3728936E">
            <w:pPr>
              <w:jc w:val="center"/>
              <w:rPr>
                <w:rFonts w:ascii="Times New Roman" w:hAnsi="Times New Roman" w:eastAsia="黑体"/>
                <w:kern w:val="0"/>
                <w:sz w:val="24"/>
              </w:rPr>
            </w:pPr>
            <w:r>
              <w:rPr>
                <w:rFonts w:ascii="Times New Roman" w:hAnsi="Times New Roman" w:eastAsia="黑体"/>
                <w:kern w:val="0"/>
                <w:sz w:val="24"/>
              </w:rPr>
              <w:t>检查依据</w:t>
            </w:r>
          </w:p>
        </w:tc>
        <w:tc>
          <w:tcPr>
            <w:tcW w:w="1020" w:type="dxa"/>
            <w:vMerge w:val="restart"/>
            <w:vAlign w:val="center"/>
          </w:tcPr>
          <w:p w14:paraId="7BE85324">
            <w:pPr>
              <w:jc w:val="center"/>
              <w:rPr>
                <w:rFonts w:ascii="Times New Roman" w:hAnsi="Times New Roman" w:eastAsia="黑体"/>
                <w:kern w:val="0"/>
                <w:sz w:val="24"/>
              </w:rPr>
            </w:pPr>
            <w:r>
              <w:rPr>
                <w:rFonts w:ascii="Times New Roman" w:hAnsi="黑体" w:eastAsia="黑体"/>
                <w:kern w:val="0"/>
                <w:sz w:val="24"/>
              </w:rPr>
              <w:t>检查方式</w:t>
            </w:r>
          </w:p>
        </w:tc>
        <w:tc>
          <w:tcPr>
            <w:tcW w:w="1140" w:type="dxa"/>
            <w:vMerge w:val="restart"/>
            <w:vAlign w:val="center"/>
          </w:tcPr>
          <w:p w14:paraId="68C10F54">
            <w:pPr>
              <w:jc w:val="center"/>
              <w:rPr>
                <w:rFonts w:ascii="Times New Roman" w:hAnsi="黑体" w:eastAsia="黑体"/>
                <w:kern w:val="0"/>
                <w:sz w:val="24"/>
              </w:rPr>
            </w:pPr>
            <w:r>
              <w:rPr>
                <w:rFonts w:ascii="Times New Roman" w:hAnsi="黑体" w:eastAsia="黑体"/>
                <w:kern w:val="0"/>
                <w:sz w:val="24"/>
              </w:rPr>
              <w:t>检查</w:t>
            </w:r>
          </w:p>
          <w:p w14:paraId="0FC98637">
            <w:pPr>
              <w:jc w:val="center"/>
              <w:rPr>
                <w:rFonts w:ascii="Times New Roman" w:hAnsi="黑体" w:eastAsia="黑体"/>
                <w:kern w:val="0"/>
                <w:sz w:val="24"/>
              </w:rPr>
            </w:pPr>
            <w:r>
              <w:rPr>
                <w:rFonts w:ascii="Times New Roman" w:hAnsi="黑体" w:eastAsia="黑体"/>
                <w:kern w:val="0"/>
                <w:sz w:val="24"/>
              </w:rPr>
              <w:t>频次</w:t>
            </w:r>
          </w:p>
          <w:p w14:paraId="342CBE81">
            <w:pPr>
              <w:jc w:val="center"/>
              <w:rPr>
                <w:rFonts w:ascii="Times New Roman" w:hAnsi="Times New Roman" w:eastAsia="黑体"/>
                <w:kern w:val="0"/>
                <w:sz w:val="24"/>
              </w:rPr>
            </w:pPr>
            <w:r>
              <w:rPr>
                <w:rFonts w:ascii="Times New Roman" w:hAnsi="黑体" w:eastAsia="黑体"/>
                <w:kern w:val="0"/>
                <w:sz w:val="24"/>
              </w:rPr>
              <w:t>（时间）</w:t>
            </w:r>
          </w:p>
        </w:tc>
        <w:tc>
          <w:tcPr>
            <w:tcW w:w="760" w:type="dxa"/>
            <w:vMerge w:val="restart"/>
            <w:vAlign w:val="center"/>
          </w:tcPr>
          <w:p w14:paraId="4E83F0ED">
            <w:pPr>
              <w:jc w:val="center"/>
              <w:rPr>
                <w:rFonts w:ascii="Times New Roman" w:hAnsi="Times New Roman" w:eastAsia="黑体"/>
                <w:kern w:val="0"/>
                <w:sz w:val="24"/>
              </w:rPr>
            </w:pPr>
            <w:r>
              <w:rPr>
                <w:rFonts w:ascii="Times New Roman" w:hAnsi="黑体" w:eastAsia="黑体"/>
                <w:kern w:val="0"/>
                <w:sz w:val="24"/>
              </w:rPr>
              <w:t>备注</w:t>
            </w:r>
          </w:p>
        </w:tc>
      </w:tr>
      <w:tr w14:paraId="458A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546" w:type="dxa"/>
            <w:vMerge w:val="continue"/>
            <w:vAlign w:val="center"/>
          </w:tcPr>
          <w:p w14:paraId="6E7FBCD9">
            <w:pPr>
              <w:jc w:val="center"/>
              <w:rPr>
                <w:rFonts w:ascii="Times New Roman" w:hAnsi="Times New Roman" w:eastAsia="黑体"/>
                <w:kern w:val="0"/>
                <w:sz w:val="24"/>
              </w:rPr>
            </w:pPr>
          </w:p>
        </w:tc>
        <w:tc>
          <w:tcPr>
            <w:tcW w:w="1545" w:type="dxa"/>
            <w:vMerge w:val="continue"/>
            <w:vAlign w:val="center"/>
          </w:tcPr>
          <w:p w14:paraId="5301D372">
            <w:pPr>
              <w:jc w:val="center"/>
              <w:rPr>
                <w:rFonts w:ascii="Times New Roman" w:hAnsi="Times New Roman" w:eastAsia="黑体"/>
                <w:kern w:val="0"/>
                <w:sz w:val="24"/>
              </w:rPr>
            </w:pPr>
          </w:p>
        </w:tc>
        <w:tc>
          <w:tcPr>
            <w:tcW w:w="1200" w:type="dxa"/>
            <w:vMerge w:val="continue"/>
            <w:vAlign w:val="center"/>
          </w:tcPr>
          <w:p w14:paraId="19328373">
            <w:pPr>
              <w:jc w:val="center"/>
              <w:rPr>
                <w:rFonts w:ascii="Times New Roman" w:hAnsi="Times New Roman" w:eastAsia="黑体"/>
                <w:kern w:val="0"/>
                <w:sz w:val="24"/>
              </w:rPr>
            </w:pPr>
          </w:p>
        </w:tc>
        <w:tc>
          <w:tcPr>
            <w:tcW w:w="1320" w:type="dxa"/>
            <w:vMerge w:val="continue"/>
            <w:vAlign w:val="center"/>
          </w:tcPr>
          <w:p w14:paraId="1727F6F4">
            <w:pPr>
              <w:jc w:val="center"/>
              <w:rPr>
                <w:rFonts w:ascii="Times New Roman" w:hAnsi="Times New Roman" w:eastAsia="黑体"/>
                <w:kern w:val="0"/>
                <w:sz w:val="24"/>
              </w:rPr>
            </w:pPr>
          </w:p>
        </w:tc>
        <w:tc>
          <w:tcPr>
            <w:tcW w:w="1290" w:type="dxa"/>
            <w:vMerge w:val="continue"/>
            <w:vAlign w:val="center"/>
          </w:tcPr>
          <w:p w14:paraId="2DB530C6">
            <w:pPr>
              <w:jc w:val="center"/>
              <w:rPr>
                <w:rFonts w:ascii="Times New Roman" w:hAnsi="Times New Roman" w:eastAsia="黑体"/>
                <w:kern w:val="0"/>
                <w:sz w:val="24"/>
              </w:rPr>
            </w:pPr>
          </w:p>
        </w:tc>
        <w:tc>
          <w:tcPr>
            <w:tcW w:w="5295" w:type="dxa"/>
            <w:vMerge w:val="continue"/>
            <w:vAlign w:val="center"/>
          </w:tcPr>
          <w:p w14:paraId="4248FD61">
            <w:pPr>
              <w:jc w:val="center"/>
              <w:rPr>
                <w:rFonts w:ascii="Times New Roman" w:hAnsi="Times New Roman" w:eastAsia="黑体"/>
                <w:kern w:val="0"/>
                <w:sz w:val="24"/>
              </w:rPr>
            </w:pPr>
          </w:p>
        </w:tc>
        <w:tc>
          <w:tcPr>
            <w:tcW w:w="1020" w:type="dxa"/>
            <w:vMerge w:val="continue"/>
            <w:vAlign w:val="center"/>
          </w:tcPr>
          <w:p w14:paraId="3556BCB5">
            <w:pPr>
              <w:jc w:val="center"/>
              <w:rPr>
                <w:rFonts w:ascii="Times New Roman" w:hAnsi="Times New Roman" w:eastAsia="黑体"/>
                <w:kern w:val="0"/>
                <w:sz w:val="24"/>
              </w:rPr>
            </w:pPr>
          </w:p>
        </w:tc>
        <w:tc>
          <w:tcPr>
            <w:tcW w:w="1140" w:type="dxa"/>
            <w:vMerge w:val="continue"/>
            <w:vAlign w:val="center"/>
          </w:tcPr>
          <w:p w14:paraId="318C58FD">
            <w:pPr>
              <w:jc w:val="center"/>
              <w:rPr>
                <w:rFonts w:ascii="Times New Roman" w:hAnsi="Times New Roman" w:eastAsia="黑体"/>
                <w:kern w:val="0"/>
                <w:sz w:val="24"/>
              </w:rPr>
            </w:pPr>
          </w:p>
        </w:tc>
        <w:tc>
          <w:tcPr>
            <w:tcW w:w="760" w:type="dxa"/>
            <w:vMerge w:val="continue"/>
            <w:vAlign w:val="center"/>
          </w:tcPr>
          <w:p w14:paraId="0F3390BE">
            <w:pPr>
              <w:jc w:val="center"/>
              <w:rPr>
                <w:rFonts w:ascii="Times New Roman" w:hAnsi="Times New Roman" w:eastAsia="黑体"/>
                <w:kern w:val="0"/>
                <w:sz w:val="24"/>
              </w:rPr>
            </w:pPr>
          </w:p>
        </w:tc>
      </w:tr>
      <w:tr w14:paraId="46C7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dxa"/>
            <w:vMerge w:val="restart"/>
            <w:vAlign w:val="center"/>
          </w:tcPr>
          <w:p w14:paraId="26608F0B">
            <w:pPr>
              <w:jc w:val="center"/>
              <w:rPr>
                <w:rFonts w:ascii="Times New Roman" w:hAnsi="Times New Roman"/>
                <w:kern w:val="0"/>
                <w:sz w:val="18"/>
                <w:szCs w:val="18"/>
              </w:rPr>
            </w:pPr>
            <w:r>
              <w:rPr>
                <w:rFonts w:ascii="Times New Roman" w:hAnsi="Times New Roman"/>
                <w:kern w:val="0"/>
                <w:sz w:val="18"/>
                <w:szCs w:val="18"/>
              </w:rPr>
              <w:t>1</w:t>
            </w:r>
          </w:p>
        </w:tc>
        <w:tc>
          <w:tcPr>
            <w:tcW w:w="1545" w:type="dxa"/>
            <w:vMerge w:val="restart"/>
            <w:vAlign w:val="center"/>
          </w:tcPr>
          <w:p w14:paraId="242B5227">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rPr>
            </w:pPr>
            <w:r>
              <w:rPr>
                <w:rFonts w:hint="eastAsia" w:asciiTheme="minorEastAsia" w:hAnsiTheme="minorEastAsia" w:eastAsiaTheme="minorEastAsia" w:cstheme="minorEastAsia"/>
                <w:i w:val="0"/>
                <w:iCs w:val="0"/>
                <w:caps w:val="0"/>
                <w:color w:val="auto"/>
                <w:spacing w:val="0"/>
                <w:sz w:val="24"/>
                <w:szCs w:val="24"/>
                <w:shd w:val="clear" w:fill="FFFFFF"/>
              </w:rPr>
              <w:t>政府采购</w:t>
            </w:r>
          </w:p>
          <w:p w14:paraId="616AA64E">
            <w:pPr>
              <w:overflowPunct w:val="0"/>
              <w:autoSpaceDE w:val="0"/>
              <w:autoSpaceDN w:val="0"/>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rPr>
              <w:t>监督检查</w:t>
            </w:r>
          </w:p>
        </w:tc>
        <w:tc>
          <w:tcPr>
            <w:tcW w:w="1200" w:type="dxa"/>
            <w:vMerge w:val="restart"/>
            <w:vAlign w:val="center"/>
          </w:tcPr>
          <w:p w14:paraId="6C660B6D">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24A0A509">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320" w:type="dxa"/>
            <w:vMerge w:val="restart"/>
            <w:vAlign w:val="center"/>
          </w:tcPr>
          <w:p w14:paraId="311644E5">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10BE2295">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290" w:type="dxa"/>
            <w:vMerge w:val="restart"/>
            <w:vAlign w:val="center"/>
          </w:tcPr>
          <w:p w14:paraId="74911895">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政府采购代理机构</w:t>
            </w:r>
          </w:p>
        </w:tc>
        <w:tc>
          <w:tcPr>
            <w:tcW w:w="5295" w:type="dxa"/>
            <w:vMerge w:val="restart"/>
            <w:vAlign w:val="center"/>
          </w:tcPr>
          <w:p w14:paraId="7C3CB599">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【法</w:t>
            </w:r>
            <w:r>
              <w:rPr>
                <w:rFonts w:hint="eastAsia" w:ascii="Times New Roman" w:hAnsi="宋体"/>
                <w:kern w:val="0"/>
                <w:sz w:val="18"/>
                <w:szCs w:val="18"/>
                <w:lang w:val="en-US" w:eastAsia="zh-CN"/>
              </w:rPr>
              <w:t>律</w:t>
            </w:r>
            <w:r>
              <w:rPr>
                <w:rFonts w:hint="eastAsia" w:ascii="Times New Roman" w:hAnsi="宋体"/>
                <w:kern w:val="0"/>
                <w:sz w:val="18"/>
                <w:szCs w:val="18"/>
              </w:rPr>
              <w:t xml:space="preserve">】《中华人民共和国政府采购法》  </w:t>
            </w:r>
          </w:p>
          <w:p w14:paraId="2F855515">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第十三条 各级人民政府财政部门是负责政府采购监督管理的部门，依法履行对政府采购活动的监督管理职责。</w:t>
            </w:r>
          </w:p>
          <w:p w14:paraId="58E49E21">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第五十九条 政府采购监督管理部门应当加强对政府采购活动及集中采购机构的监督检查。</w:t>
            </w:r>
          </w:p>
          <w:p w14:paraId="17DB3B75">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监督检查的主要内容是：</w:t>
            </w:r>
          </w:p>
          <w:p w14:paraId="314B0699">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（一）有关政府采购的法律、行政法规和规章的执行情况；</w:t>
            </w:r>
          </w:p>
          <w:p w14:paraId="44C5D0C0">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（二）采购范围、采购方式和采购程序的执行情况；</w:t>
            </w:r>
          </w:p>
          <w:p w14:paraId="4303F327">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（三）政府采购人员的职业素质和专业技能。</w:t>
            </w:r>
          </w:p>
          <w:p w14:paraId="32492B17">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第六十五条 政府采购监督管理部门应当对政府采购项目的采购活动进行检查，政府采购当事人应当如实反映情况，提供有关材料。</w:t>
            </w:r>
          </w:p>
          <w:p w14:paraId="4C4D0704">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【行政法规】《中华人民共和国政府采购法实施条例》</w:t>
            </w:r>
          </w:p>
          <w:p w14:paraId="71EF7A4D">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第六十三条 各级人民政府财政部门和其他有关部门应当加强对参加政府采购活动的供应商、采购代理机构、评审专家的监督管理，对其不良行为予以记录，并纳入统一的信用信息平台。</w:t>
            </w:r>
          </w:p>
          <w:p w14:paraId="5F799FEF">
            <w:pPr>
              <w:widowControl/>
              <w:autoSpaceDE w:val="0"/>
              <w:autoSpaceDN w:val="0"/>
              <w:spacing w:line="240" w:lineRule="exact"/>
              <w:rPr>
                <w:rFonts w:ascii="Times New Roman" w:hAnsi="Times New Roman"/>
                <w:kern w:val="0"/>
                <w:sz w:val="18"/>
                <w:szCs w:val="18"/>
              </w:rPr>
            </w:pPr>
            <w:r>
              <w:rPr>
                <w:rFonts w:hint="eastAsia" w:ascii="Times New Roman" w:hAnsi="宋体"/>
                <w:kern w:val="0"/>
                <w:sz w:val="18"/>
                <w:szCs w:val="18"/>
              </w:rPr>
              <w:t xml:space="preserve">    第六十四条 各级人民政府财政部门对政府采购活动进行监督检查，有权查阅、复制有关文件、资料，相关单位和人员应当予以配合。</w:t>
            </w:r>
          </w:p>
        </w:tc>
        <w:tc>
          <w:tcPr>
            <w:tcW w:w="1020" w:type="dxa"/>
            <w:vMerge w:val="restart"/>
            <w:vAlign w:val="center"/>
          </w:tcPr>
          <w:p w14:paraId="3023F7EF">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现场检查、</w:t>
            </w:r>
          </w:p>
          <w:p w14:paraId="018143A7">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书面检查、 网络监测</w:t>
            </w:r>
          </w:p>
        </w:tc>
        <w:tc>
          <w:tcPr>
            <w:tcW w:w="1140" w:type="dxa"/>
            <w:vMerge w:val="restart"/>
            <w:vAlign w:val="center"/>
          </w:tcPr>
          <w:p w14:paraId="50B6E3F7">
            <w:pPr>
              <w:overflowPunct w:val="0"/>
              <w:autoSpaceDE w:val="0"/>
              <w:autoSpaceDN w:val="0"/>
              <w:jc w:val="center"/>
              <w:rPr>
                <w:rFonts w:hint="default"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1次/年</w:t>
            </w:r>
          </w:p>
        </w:tc>
        <w:tc>
          <w:tcPr>
            <w:tcW w:w="760" w:type="dxa"/>
            <w:tcBorders/>
            <w:vAlign w:val="center"/>
          </w:tcPr>
          <w:p w14:paraId="24C223A3">
            <w:pPr>
              <w:rPr>
                <w:rFonts w:ascii="Times New Roman" w:hAnsi="Times New Roman"/>
                <w:b/>
                <w:kern w:val="0"/>
                <w:sz w:val="18"/>
                <w:szCs w:val="18"/>
              </w:rPr>
            </w:pPr>
          </w:p>
        </w:tc>
      </w:tr>
      <w:tr w14:paraId="6078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jc w:val="center"/>
        </w:trPr>
        <w:tc>
          <w:tcPr>
            <w:tcW w:w="546" w:type="dxa"/>
            <w:vMerge w:val="restart"/>
            <w:vAlign w:val="center"/>
          </w:tcPr>
          <w:p w14:paraId="41B4C305">
            <w:pPr>
              <w:overflowPunct w:val="0"/>
              <w:autoSpaceDE w:val="0"/>
              <w:autoSpaceDN w:val="0"/>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1545" w:type="dxa"/>
            <w:vMerge w:val="restart"/>
            <w:vAlign w:val="center"/>
          </w:tcPr>
          <w:p w14:paraId="543833D3">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rPr>
            </w:pPr>
            <w:r>
              <w:rPr>
                <w:rFonts w:hint="eastAsia" w:asciiTheme="minorEastAsia" w:hAnsiTheme="minorEastAsia" w:eastAsiaTheme="minorEastAsia" w:cstheme="minorEastAsia"/>
                <w:i w:val="0"/>
                <w:iCs w:val="0"/>
                <w:caps w:val="0"/>
                <w:color w:val="auto"/>
                <w:spacing w:val="0"/>
                <w:sz w:val="24"/>
                <w:szCs w:val="24"/>
                <w:shd w:val="clear" w:fill="FFFFFF"/>
              </w:rPr>
              <w:t>会计信息质量监督检查</w:t>
            </w:r>
          </w:p>
        </w:tc>
        <w:tc>
          <w:tcPr>
            <w:tcW w:w="1200" w:type="dxa"/>
            <w:vMerge w:val="restart"/>
            <w:shd w:val="clear" w:color="auto" w:fill="auto"/>
            <w:vAlign w:val="center"/>
          </w:tcPr>
          <w:p w14:paraId="598DD4BC">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35D4471C">
            <w:pPr>
              <w:overflowPunct w:val="0"/>
              <w:autoSpaceDE w:val="0"/>
              <w:autoSpaceDN w:val="0"/>
              <w:jc w:val="center"/>
              <w:rPr>
                <w:rFonts w:hint="eastAsia" w:asciiTheme="minorEastAsia" w:hAnsiTheme="minorEastAsia" w:eastAsiaTheme="minorEastAsia" w:cstheme="minorEastAsia"/>
                <w:i w:val="0"/>
                <w:iCs w:val="0"/>
                <w:caps w:val="0"/>
                <w:color w:val="auto"/>
                <w:spacing w:val="0"/>
                <w:kern w:val="2"/>
                <w:sz w:val="24"/>
                <w:szCs w:val="24"/>
                <w:shd w:val="clear" w:fill="FFFFFF"/>
                <w:lang w:val="en-US" w:eastAsia="zh-CN" w:bidi="ar-SA"/>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320" w:type="dxa"/>
            <w:vMerge w:val="restart"/>
            <w:shd w:val="clear" w:color="auto" w:fill="auto"/>
            <w:vAlign w:val="center"/>
          </w:tcPr>
          <w:p w14:paraId="50C2BCD2">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383FA344">
            <w:pPr>
              <w:overflowPunct w:val="0"/>
              <w:autoSpaceDE w:val="0"/>
              <w:autoSpaceDN w:val="0"/>
              <w:jc w:val="center"/>
              <w:rPr>
                <w:rFonts w:hint="eastAsia" w:asciiTheme="minorEastAsia" w:hAnsiTheme="minorEastAsia" w:eastAsiaTheme="minorEastAsia" w:cstheme="minorEastAsia"/>
                <w:i w:val="0"/>
                <w:iCs w:val="0"/>
                <w:caps w:val="0"/>
                <w:color w:val="auto"/>
                <w:spacing w:val="0"/>
                <w:kern w:val="2"/>
                <w:sz w:val="24"/>
                <w:szCs w:val="24"/>
                <w:shd w:val="clear" w:fill="FFFFFF"/>
                <w:lang w:val="en-US" w:eastAsia="zh-CN" w:bidi="ar-SA"/>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290" w:type="dxa"/>
            <w:vMerge w:val="restart"/>
            <w:vAlign w:val="center"/>
          </w:tcPr>
          <w:p w14:paraId="53BF610A">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国家机关、社会团体、公司、企</w:t>
            </w:r>
          </w:p>
          <w:p w14:paraId="020F204D">
            <w:pPr>
              <w:overflowPunct w:val="0"/>
              <w:autoSpaceDE w:val="0"/>
              <w:autoSpaceDN w:val="0"/>
              <w:jc w:val="center"/>
              <w:rPr>
                <w:rFonts w:hint="eastAsia" w:asciiTheme="minorEastAsia" w:hAnsiTheme="minorEastAsia" w:eastAsiaTheme="minorEastAsia" w:cstheme="minorEastAsia"/>
                <w:b/>
                <w:color w:val="auto"/>
                <w:kern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业、事业单位和其他组织</w:t>
            </w:r>
          </w:p>
        </w:tc>
        <w:tc>
          <w:tcPr>
            <w:tcW w:w="5295" w:type="dxa"/>
            <w:vMerge w:val="restart"/>
            <w:vAlign w:val="center"/>
          </w:tcPr>
          <w:p w14:paraId="2A96E945">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【法律】《中华人民共和国会计法》</w:t>
            </w:r>
          </w:p>
          <w:p w14:paraId="46B5BE7E">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第三十条 财政部门对各单位的下列情况实施监督：</w:t>
            </w:r>
          </w:p>
          <w:p w14:paraId="15ADDFE2">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（一）是否依法设置会计账簿；</w:t>
            </w:r>
          </w:p>
          <w:p w14:paraId="21C3435B">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（二）会计凭证、会计账簿、财务会计报告和其他会计资料是否真实、完整；</w:t>
            </w:r>
          </w:p>
          <w:p w14:paraId="0822D1FE">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（三）会计核算是否符合本法和国家统一的会计制度的规定；</w:t>
            </w:r>
          </w:p>
          <w:p w14:paraId="4A04D1CE">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（四）从事会计工作的人员是否具备专业能力、遵守职业道德。</w:t>
            </w:r>
          </w:p>
          <w:p w14:paraId="1C04CE7A">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在对前款第（二）项所列事项实施监督，发现重大违法嫌疑时，国务院财政部门及其派出机构可以向与被监督单位有经济业务往来的单位和被监督单位开立账户的金融机构查询有关情况，有关单位和金融机构应当给予支持。</w:t>
            </w:r>
          </w:p>
          <w:p w14:paraId="359AB496">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第三十一条 财政、审计、税务、金融管理等部门应当依照有关法律、行政法规规定的职责，对有关单位的会计资料实施监督检查，并出具检查结论。</w:t>
            </w:r>
          </w:p>
          <w:p w14:paraId="47303AE4">
            <w:pPr>
              <w:widowControl/>
              <w:autoSpaceDE w:val="0"/>
              <w:autoSpaceDN w:val="0"/>
              <w:spacing w:line="240" w:lineRule="exact"/>
              <w:rPr>
                <w:rFonts w:ascii="Times New Roman" w:hAnsi="Times New Roman" w:eastAsia="方正仿宋_GBK"/>
                <w:kern w:val="0"/>
                <w:szCs w:val="21"/>
                <w:shd w:val="clear" w:color="auto" w:fill="FFFFFF"/>
              </w:rPr>
            </w:pPr>
            <w:r>
              <w:rPr>
                <w:rFonts w:hint="eastAsia" w:ascii="Times New Roman" w:hAnsi="宋体"/>
                <w:kern w:val="0"/>
                <w:sz w:val="18"/>
                <w:szCs w:val="18"/>
              </w:rPr>
              <w:t xml:space="preserve">    财政、审计、税务、金融管理等部门应当加强监督检查协作，有关监督检查部门已经作出的检查结论能够满足其他监督检查部门履行本部门职责需要的，其他监督检查部门应当加以利用，避免重复查账。</w:t>
            </w:r>
          </w:p>
        </w:tc>
        <w:tc>
          <w:tcPr>
            <w:tcW w:w="1020" w:type="dxa"/>
            <w:vMerge w:val="restart"/>
            <w:vAlign w:val="center"/>
          </w:tcPr>
          <w:p w14:paraId="3D23BE3D">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现场检查、</w:t>
            </w:r>
          </w:p>
          <w:p w14:paraId="449D0F94">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书面检查、 网络监测</w:t>
            </w:r>
          </w:p>
        </w:tc>
        <w:tc>
          <w:tcPr>
            <w:tcW w:w="1140" w:type="dxa"/>
            <w:vMerge w:val="restart"/>
            <w:vAlign w:val="center"/>
          </w:tcPr>
          <w:p w14:paraId="6A30C610">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1次/年</w:t>
            </w:r>
          </w:p>
        </w:tc>
        <w:tc>
          <w:tcPr>
            <w:tcW w:w="760" w:type="dxa"/>
            <w:tcBorders/>
            <w:vAlign w:val="center"/>
          </w:tcPr>
          <w:p w14:paraId="45373466">
            <w:pPr>
              <w:rPr>
                <w:rFonts w:ascii="Times New Roman" w:hAnsi="Times New Roman"/>
                <w:b/>
                <w:kern w:val="0"/>
                <w:sz w:val="18"/>
                <w:szCs w:val="18"/>
              </w:rPr>
            </w:pPr>
          </w:p>
        </w:tc>
      </w:tr>
      <w:tr w14:paraId="0DE7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46" w:type="dxa"/>
            <w:vMerge w:val="restart"/>
            <w:vAlign w:val="center"/>
          </w:tcPr>
          <w:p w14:paraId="7AE563F4">
            <w:pPr>
              <w:overflowPunct w:val="0"/>
              <w:autoSpaceDE w:val="0"/>
              <w:autoSpaceDN w:val="0"/>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3</w:t>
            </w:r>
          </w:p>
        </w:tc>
        <w:tc>
          <w:tcPr>
            <w:tcW w:w="1545" w:type="dxa"/>
            <w:vMerge w:val="restart"/>
            <w:vAlign w:val="center"/>
          </w:tcPr>
          <w:p w14:paraId="0947E413">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rPr>
            </w:pPr>
            <w:r>
              <w:rPr>
                <w:rFonts w:hint="eastAsia" w:asciiTheme="minorEastAsia" w:hAnsiTheme="minorEastAsia" w:eastAsiaTheme="minorEastAsia" w:cstheme="minorEastAsia"/>
                <w:i w:val="0"/>
                <w:iCs w:val="0"/>
                <w:caps w:val="0"/>
                <w:color w:val="auto"/>
                <w:spacing w:val="0"/>
                <w:sz w:val="24"/>
                <w:szCs w:val="24"/>
                <w:shd w:val="clear" w:fill="FFFFFF"/>
              </w:rPr>
              <w:t>资产评估行业监督检查</w:t>
            </w:r>
          </w:p>
        </w:tc>
        <w:tc>
          <w:tcPr>
            <w:tcW w:w="1200" w:type="dxa"/>
            <w:vMerge w:val="restart"/>
            <w:shd w:val="clear" w:color="auto" w:fill="auto"/>
            <w:vAlign w:val="center"/>
          </w:tcPr>
          <w:p w14:paraId="79CA249C">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7E8EB6B0">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320" w:type="dxa"/>
            <w:vMerge w:val="restart"/>
            <w:shd w:val="clear" w:color="auto" w:fill="auto"/>
            <w:vAlign w:val="center"/>
          </w:tcPr>
          <w:p w14:paraId="2587512A">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79729D56">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290" w:type="dxa"/>
            <w:vMerge w:val="restart"/>
            <w:vAlign w:val="center"/>
          </w:tcPr>
          <w:p w14:paraId="57FECC3D">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资产评估机构（含分支机构） 和资产评 估专业人员</w:t>
            </w:r>
          </w:p>
        </w:tc>
        <w:tc>
          <w:tcPr>
            <w:tcW w:w="5295" w:type="dxa"/>
            <w:vMerge w:val="restart"/>
            <w:vAlign w:val="center"/>
          </w:tcPr>
          <w:p w14:paraId="031C6740">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【法律】《中华人民共和国资产评估法》</w:t>
            </w:r>
          </w:p>
          <w:p w14:paraId="11061555">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第七条 国务院有关评估行政管理部门按照各自职责分工，对评估行业进行监督管理。</w:t>
            </w:r>
          </w:p>
          <w:p w14:paraId="70222797">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设区的市级以上地方人民政府有关评估行政管理部门按照各自职责分工，对本行政区域内的评估行业进行监督管理。</w:t>
            </w:r>
          </w:p>
          <w:p w14:paraId="4086A3A4">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第四十条 设区的市级以上人民政府有关评估行政管理部门依据各自职责，负责监督管理评估行业，对评估机构和评估专业人员的违法行为依法实施行政处罚，将处罚情况及时通报有关评估行业协会，并依法向社会公开。</w:t>
            </w:r>
          </w:p>
          <w:p w14:paraId="75AC44E4">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【规章】《资产评估行业财政监督管理办法》（财政部令第97号）</w:t>
            </w:r>
          </w:p>
          <w:p w14:paraId="1D9B5C2E">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第五条 财政部负责统筹财政部门对全国资产评估行业的监督管理，制定有关监督管理办法和资产评估基本准则，指导和督促地方财政部门实施监督管理。</w:t>
            </w:r>
          </w:p>
          <w:p w14:paraId="0C5CD36B">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第四十三条 省级财政部门开展监督检查，包括年度检查和必要的专项检查，对本行政区域内资产评估机构包括分支机构下列内容进行重点检查，并将检查结果予以公开，同时向财政部报告：</w:t>
            </w:r>
          </w:p>
          <w:p w14:paraId="67FB2010">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（一）资产评估机构持续符合资产评估法第十五条规定条件的情况；</w:t>
            </w:r>
          </w:p>
          <w:p w14:paraId="0064DFA3">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（二）办理备案情况；</w:t>
            </w:r>
          </w:p>
          <w:p w14:paraId="05845234">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（三）资产评估执业质量情况。</w:t>
            </w:r>
          </w:p>
          <w:p w14:paraId="2178A5CC">
            <w:pPr>
              <w:widowControl/>
              <w:autoSpaceDE w:val="0"/>
              <w:autoSpaceDN w:val="0"/>
              <w:spacing w:line="240" w:lineRule="exact"/>
              <w:rPr>
                <w:rFonts w:hint="default" w:ascii="Times New Roman" w:hAnsi="宋体" w:eastAsia="宋体"/>
                <w:kern w:val="0"/>
                <w:sz w:val="18"/>
                <w:szCs w:val="18"/>
                <w:lang w:val="en-US" w:eastAsia="zh-CN"/>
              </w:rPr>
            </w:pPr>
            <w:r>
              <w:rPr>
                <w:rFonts w:hint="eastAsia" w:ascii="Times New Roman" w:hAnsi="宋体"/>
                <w:kern w:val="0"/>
                <w:sz w:val="18"/>
                <w:szCs w:val="18"/>
                <w:lang w:eastAsia="zh-CN"/>
              </w:rPr>
              <w:t>【</w:t>
            </w:r>
            <w:r>
              <w:rPr>
                <w:rFonts w:hint="eastAsia" w:ascii="Times New Roman" w:hAnsi="宋体"/>
                <w:kern w:val="0"/>
                <w:sz w:val="18"/>
                <w:szCs w:val="18"/>
                <w:lang w:val="en-US" w:eastAsia="zh-CN"/>
              </w:rPr>
              <w:t>地方性法规</w:t>
            </w:r>
            <w:r>
              <w:rPr>
                <w:rFonts w:hint="eastAsia" w:ascii="Times New Roman" w:hAnsi="宋体"/>
                <w:kern w:val="0"/>
                <w:sz w:val="18"/>
                <w:szCs w:val="18"/>
                <w:lang w:eastAsia="zh-CN"/>
              </w:rPr>
              <w:t>】《</w:t>
            </w:r>
            <w:r>
              <w:rPr>
                <w:rFonts w:hint="eastAsia" w:ascii="Times New Roman" w:hAnsi="宋体"/>
                <w:kern w:val="0"/>
                <w:sz w:val="18"/>
                <w:szCs w:val="18"/>
                <w:lang w:val="en-US" w:eastAsia="zh-CN"/>
              </w:rPr>
              <w:t>江苏省财会监督条例》</w:t>
            </w:r>
          </w:p>
          <w:p w14:paraId="44EE0766">
            <w:pPr>
              <w:widowControl/>
              <w:autoSpaceDE w:val="0"/>
              <w:autoSpaceDN w:val="0"/>
              <w:spacing w:line="240" w:lineRule="exact"/>
              <w:ind w:firstLine="360" w:firstLineChars="200"/>
              <w:rPr>
                <w:rFonts w:hint="eastAsia" w:ascii="Times New Roman" w:hAnsi="宋体"/>
                <w:kern w:val="0"/>
                <w:sz w:val="18"/>
                <w:szCs w:val="18"/>
              </w:rPr>
            </w:pPr>
            <w:r>
              <w:rPr>
                <w:rFonts w:hint="eastAsia" w:ascii="Times New Roman" w:hAnsi="宋体"/>
                <w:kern w:val="0"/>
                <w:sz w:val="18"/>
                <w:szCs w:val="18"/>
              </w:rPr>
              <w:t>第十八条　省财政部门依法对本行政区域内注册会计师、会计师事务所和注册会计师协会进行监督。省、设区的市财政部门依法对本行政区域内资产评估专业人员、资产评估机构和资产评估协会进行监督。省、设区的市、县（市、区）财政部门对本行政区域内代理记账从业人员、代理记账机构和代理记账协会进行监督。</w:t>
            </w:r>
          </w:p>
          <w:p w14:paraId="45CD5859">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有关部门根据职责依法对相关中介机构及其从业人员、行业协会进行监督。</w:t>
            </w:r>
          </w:p>
        </w:tc>
        <w:tc>
          <w:tcPr>
            <w:tcW w:w="1020" w:type="dxa"/>
            <w:vMerge w:val="restart"/>
            <w:vAlign w:val="center"/>
          </w:tcPr>
          <w:p w14:paraId="2A373485">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现场检查、</w:t>
            </w:r>
          </w:p>
          <w:p w14:paraId="5CA7AD97">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网络监测、 书面检查</w:t>
            </w:r>
          </w:p>
        </w:tc>
        <w:tc>
          <w:tcPr>
            <w:tcW w:w="1140" w:type="dxa"/>
            <w:vMerge w:val="restart"/>
            <w:vAlign w:val="center"/>
          </w:tcPr>
          <w:p w14:paraId="3F9193E2">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1次/年</w:t>
            </w:r>
          </w:p>
        </w:tc>
        <w:tc>
          <w:tcPr>
            <w:tcW w:w="760" w:type="dxa"/>
            <w:tcBorders/>
            <w:vAlign w:val="center"/>
          </w:tcPr>
          <w:p w14:paraId="45B2304F">
            <w:pPr>
              <w:rPr>
                <w:rFonts w:ascii="Times New Roman" w:hAnsi="Times New Roman"/>
                <w:b/>
                <w:kern w:val="0"/>
                <w:sz w:val="18"/>
                <w:szCs w:val="18"/>
              </w:rPr>
            </w:pPr>
          </w:p>
        </w:tc>
      </w:tr>
      <w:tr w14:paraId="5C99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546" w:type="dxa"/>
            <w:vAlign w:val="center"/>
          </w:tcPr>
          <w:p w14:paraId="57C9AD1F">
            <w:pPr>
              <w:overflowPunct w:val="0"/>
              <w:autoSpaceDE w:val="0"/>
              <w:autoSpaceDN w:val="0"/>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1545" w:type="dxa"/>
            <w:vAlign w:val="center"/>
          </w:tcPr>
          <w:p w14:paraId="7C333075">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企业财务管理监督检查</w:t>
            </w:r>
          </w:p>
        </w:tc>
        <w:tc>
          <w:tcPr>
            <w:tcW w:w="1200" w:type="dxa"/>
            <w:shd w:val="clear" w:color="auto" w:fill="auto"/>
            <w:vAlign w:val="center"/>
          </w:tcPr>
          <w:p w14:paraId="1E80BB82">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02E4DAA2">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320" w:type="dxa"/>
            <w:shd w:val="clear" w:color="auto" w:fill="auto"/>
            <w:vAlign w:val="center"/>
          </w:tcPr>
          <w:p w14:paraId="098CB9AC">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苏州市</w:t>
            </w:r>
          </w:p>
          <w:p w14:paraId="609D3710">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财政局</w:t>
            </w:r>
          </w:p>
        </w:tc>
        <w:tc>
          <w:tcPr>
            <w:tcW w:w="1290" w:type="dxa"/>
            <w:vAlign w:val="center"/>
          </w:tcPr>
          <w:p w14:paraId="6F5998CA">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color w:val="auto"/>
                <w:spacing w:val="5"/>
                <w:sz w:val="24"/>
                <w:szCs w:val="24"/>
              </w:rPr>
              <w:t>企业</w:t>
            </w:r>
          </w:p>
        </w:tc>
        <w:tc>
          <w:tcPr>
            <w:tcW w:w="5295" w:type="dxa"/>
            <w:vAlign w:val="center"/>
          </w:tcPr>
          <w:p w14:paraId="13D73CFD">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【规章】《企业财务通则》（财政部令第41号）</w:t>
            </w:r>
          </w:p>
          <w:p w14:paraId="6FE3CD62">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第四条 财政部负责制定企业财务规章制度。</w:t>
            </w:r>
          </w:p>
          <w:p w14:paraId="6683288B">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各级财政部门（以下通称主管财政机关）应当加强对企业财务的指导、管理、监督，其主要职责包括：</w:t>
            </w:r>
          </w:p>
          <w:p w14:paraId="0BAAA8A8">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（一）监督执行企业财务规章制度，按照财务关系指导企业建立健全内部财务制度。</w:t>
            </w:r>
          </w:p>
          <w:p w14:paraId="32027FB9">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（二）制定促进企业改革发展的财政财务政策，建立健全支持企业发展的财政资金管理制度。</w:t>
            </w:r>
          </w:p>
          <w:p w14:paraId="5F923841">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（三）建立健全企业年度财务会计报告审计制度，检查企业财务会计报告质量。</w:t>
            </w:r>
          </w:p>
          <w:p w14:paraId="07B2FC8B">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（四）实施企业财务评价，监测企业财务运行状况。</w:t>
            </w:r>
          </w:p>
          <w:p w14:paraId="11E03241">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（五）研究、拟订企业国有资本收益分配和国有资本经营预算的制度。</w:t>
            </w:r>
          </w:p>
          <w:p w14:paraId="1F71D97E">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（六）参与审核属于本级人民政府及其有关部门、机构出资的企业重要改革、改制方案。</w:t>
            </w:r>
          </w:p>
          <w:p w14:paraId="1BF56778">
            <w:pPr>
              <w:widowControl/>
              <w:numPr>
                <w:ilvl w:val="0"/>
                <w:numId w:val="1"/>
              </w:numPr>
              <w:autoSpaceDE w:val="0"/>
              <w:autoSpaceDN w:val="0"/>
              <w:spacing w:line="240" w:lineRule="exact"/>
              <w:ind w:left="270" w:leftChars="0" w:firstLine="0" w:firstLineChars="0"/>
              <w:rPr>
                <w:rFonts w:hint="eastAsia" w:ascii="Times New Roman" w:hAnsi="宋体"/>
                <w:kern w:val="0"/>
                <w:sz w:val="18"/>
                <w:szCs w:val="18"/>
              </w:rPr>
            </w:pPr>
            <w:r>
              <w:rPr>
                <w:rFonts w:hint="eastAsia" w:ascii="Times New Roman" w:hAnsi="宋体"/>
                <w:kern w:val="0"/>
                <w:sz w:val="18"/>
                <w:szCs w:val="18"/>
              </w:rPr>
              <w:t>根据企业财务管理的需要提供必要的帮助、服务。</w:t>
            </w:r>
          </w:p>
          <w:p w14:paraId="288C67C5">
            <w:pPr>
              <w:widowControl/>
              <w:numPr>
                <w:ilvl w:val="0"/>
                <w:numId w:val="0"/>
              </w:numPr>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【规章】《金融企业财务规则》（财政部令第42号）</w:t>
            </w:r>
          </w:p>
          <w:p w14:paraId="55D7FBBA">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第四条各级人民政府财政部门（以下简称财政部门）依法指导、管理和监督本级金融企业的财务管理工作。</w:t>
            </w:r>
          </w:p>
          <w:p w14:paraId="352FBB1E">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省级以上人民政府财政部门的派出机构，应当在规定职责范围内依法履行指导、管理和监督金融企业财务管理工作的职责。</w:t>
            </w:r>
          </w:p>
          <w:p w14:paraId="465E60B6">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金融企业在完成工商登记后30日内，应当向同级财政部门提交设立批准证书、营业执照、验资证明、章程等文件的复印件。</w:t>
            </w:r>
          </w:p>
          <w:p w14:paraId="4F393D8C">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金融企业发生分立、合并、设立分支机构，以及主要工商登记事项发生变更时，在依法完成工商变更登记后30日内，应当向同级财政部门提交有关的变更文件复印件。</w:t>
            </w:r>
          </w:p>
          <w:p w14:paraId="2D94F303">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xml:space="preserve">    第六条　财政部门履行下列财务管理职责：</w:t>
            </w:r>
          </w:p>
          <w:p w14:paraId="77A0B2A8">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（一）监督金融企业执行本规则以及其他的财务管理规定，指导、督促金融企业建立健全内部财务管理制度；</w:t>
            </w:r>
          </w:p>
          <w:p w14:paraId="2BF17A50">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（二）指导、督促金融企业建立健全财务风险控制体系，监测金融企业财务风险及其营运状况，监督金融企业的财务行为；</w:t>
            </w:r>
          </w:p>
          <w:p w14:paraId="3E7BD918">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（三）加强金融企业财务信息管理，实施金融企业财务评价；</w:t>
            </w:r>
          </w:p>
          <w:p w14:paraId="55B0C455">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（四）监督金融企业接受社会审计和资产评估；</w:t>
            </w:r>
          </w:p>
          <w:p w14:paraId="792AFDCA">
            <w:pPr>
              <w:widowControl/>
              <w:autoSpaceDE w:val="0"/>
              <w:autoSpaceDN w:val="0"/>
              <w:spacing w:line="240" w:lineRule="exact"/>
              <w:rPr>
                <w:rFonts w:hint="eastAsia" w:ascii="Times New Roman" w:hAnsi="宋体"/>
                <w:kern w:val="0"/>
                <w:sz w:val="18"/>
                <w:szCs w:val="18"/>
              </w:rPr>
            </w:pPr>
            <w:r>
              <w:rPr>
                <w:rFonts w:hint="eastAsia" w:ascii="Times New Roman" w:hAnsi="宋体"/>
                <w:kern w:val="0"/>
                <w:sz w:val="18"/>
                <w:szCs w:val="18"/>
              </w:rPr>
              <w:t>　　（五）制定并实施促进金融企业改革和发展的财政、财务政策，组织金融企业财务管理人员的业务培训；</w:t>
            </w:r>
          </w:p>
          <w:p w14:paraId="1F627038">
            <w:pPr>
              <w:widowControl/>
              <w:autoSpaceDE w:val="0"/>
              <w:autoSpaceDN w:val="0"/>
              <w:spacing w:line="240" w:lineRule="exact"/>
              <w:rPr>
                <w:rFonts w:hint="eastAsia" w:ascii="Times New Roman" w:hAnsi="宋体"/>
                <w:kern w:val="0"/>
                <w:sz w:val="18"/>
                <w:szCs w:val="18"/>
              </w:rPr>
            </w:pPr>
            <w:bookmarkStart w:id="0" w:name="_GoBack"/>
            <w:bookmarkEnd w:id="0"/>
            <w:r>
              <w:rPr>
                <w:rFonts w:hint="eastAsia" w:ascii="Times New Roman" w:hAnsi="宋体"/>
                <w:kern w:val="0"/>
                <w:sz w:val="18"/>
                <w:szCs w:val="18"/>
              </w:rPr>
              <w:t>　　（六）有关法律、行政法规规定的其他财务管理职责。</w:t>
            </w:r>
          </w:p>
        </w:tc>
        <w:tc>
          <w:tcPr>
            <w:tcW w:w="1020" w:type="dxa"/>
            <w:vAlign w:val="center"/>
          </w:tcPr>
          <w:p w14:paraId="4AD5A6F7">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现场检查、 书面检查</w:t>
            </w:r>
          </w:p>
        </w:tc>
        <w:tc>
          <w:tcPr>
            <w:tcW w:w="1140" w:type="dxa"/>
            <w:vAlign w:val="center"/>
          </w:tcPr>
          <w:p w14:paraId="57446D68">
            <w:pPr>
              <w:overflowPunct w:val="0"/>
              <w:autoSpaceDE w:val="0"/>
              <w:autoSpaceDN w:val="0"/>
              <w:jc w:val="center"/>
              <w:rPr>
                <w:rFonts w:hint="eastAsia" w:asciiTheme="minorEastAsia" w:hAnsiTheme="minorEastAsia" w:eastAsiaTheme="minorEastAsia" w:cstheme="minorEastAsia"/>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1次/年</w:t>
            </w:r>
          </w:p>
        </w:tc>
        <w:tc>
          <w:tcPr>
            <w:tcW w:w="760" w:type="dxa"/>
            <w:tcBorders/>
            <w:vAlign w:val="center"/>
          </w:tcPr>
          <w:p w14:paraId="53D3321D">
            <w:pPr>
              <w:rPr>
                <w:rFonts w:ascii="Times New Roman" w:hAnsi="Times New Roman"/>
                <w:b/>
                <w:kern w:val="0"/>
                <w:sz w:val="18"/>
                <w:szCs w:val="18"/>
              </w:rPr>
            </w:pPr>
          </w:p>
        </w:tc>
      </w:tr>
      <w:tr w14:paraId="19E5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4116" w:type="dxa"/>
            <w:gridSpan w:val="9"/>
            <w:vAlign w:val="center"/>
          </w:tcPr>
          <w:p w14:paraId="5E43595C">
            <w:pPr>
              <w:rPr>
                <w:rFonts w:ascii="Times New Roman" w:hAnsi="Times New Roman"/>
                <w:b/>
                <w:kern w:val="0"/>
                <w:sz w:val="18"/>
                <w:szCs w:val="18"/>
              </w:rPr>
            </w:pPr>
            <w:r>
              <w:rPr>
                <w:rFonts w:hint="eastAsia" w:asciiTheme="minorEastAsia" w:hAnsiTheme="minorEastAsia" w:eastAsiaTheme="minorEastAsia" w:cstheme="minorEastAsia"/>
                <w:i w:val="0"/>
                <w:iCs w:val="0"/>
                <w:caps w:val="0"/>
                <w:color w:val="333333"/>
                <w:spacing w:val="0"/>
                <w:sz w:val="24"/>
                <w:szCs w:val="24"/>
                <w:shd w:val="clear" w:fill="FFFFFF"/>
              </w:rPr>
              <w:t>备注：代理记账机构监督检查由县</w:t>
            </w:r>
            <w:r>
              <w:rPr>
                <w:rFonts w:hint="eastAsia" w:asciiTheme="minorEastAsia" w:hAnsiTheme="minorEastAsia" w:eastAsiaTheme="minorEastAsia" w:cstheme="minorEastAsia"/>
                <w:i w:val="0"/>
                <w:iCs w:val="0"/>
                <w:caps w:val="0"/>
                <w:color w:val="333333"/>
                <w:spacing w:val="0"/>
                <w:sz w:val="24"/>
                <w:szCs w:val="24"/>
                <w:shd w:val="clear" w:fill="FFFFFF"/>
                <w:lang w:eastAsia="zh-CN"/>
              </w:rPr>
              <w:t>（</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区）财政部门</w:t>
            </w:r>
            <w:r>
              <w:rPr>
                <w:rFonts w:hint="eastAsia" w:asciiTheme="minorEastAsia" w:hAnsiTheme="minorEastAsia" w:eastAsiaTheme="minorEastAsia" w:cstheme="minorEastAsia"/>
                <w:i w:val="0"/>
                <w:iCs w:val="0"/>
                <w:caps w:val="0"/>
                <w:color w:val="333333"/>
                <w:spacing w:val="0"/>
                <w:sz w:val="24"/>
                <w:szCs w:val="24"/>
                <w:shd w:val="clear" w:fill="FFFFFF"/>
              </w:rPr>
              <w:t>具体实施。</w:t>
            </w:r>
          </w:p>
        </w:tc>
      </w:tr>
    </w:tbl>
    <w:p w14:paraId="40A95DE2">
      <w:pPr>
        <w:pStyle w:val="2"/>
      </w:pPr>
    </w:p>
    <w:sectPr>
      <w:footerReference r:id="rId3" w:type="default"/>
      <w:pgSz w:w="16838" w:h="11906" w:orient="landscape"/>
      <w:pgMar w:top="1559" w:right="2041" w:bottom="1559" w:left="1928" w:header="0" w:footer="822"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81AF37-D128-4DE4-BDF0-DEC859BDDB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大宋">
    <w:altName w:val="Arial Unicode MS"/>
    <w:panose1 w:val="00000000000000000000"/>
    <w:charset w:val="00"/>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embedRegular r:id="rId2" w:fontKey="{264AAD2E-007A-474F-AEFB-533BFC51D631}"/>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3" w:fontKey="{25FAB2FC-868E-45F9-A06E-7330CB4B94C4}"/>
  </w:font>
  <w:font w:name="方正仿宋_GBK">
    <w:altName w:val="Arial Unicode MS"/>
    <w:panose1 w:val="03000509000000000000"/>
    <w:charset w:val="86"/>
    <w:family w:val="script"/>
    <w:pitch w:val="default"/>
    <w:sig w:usb0="00000000" w:usb1="00000000" w:usb2="00000010" w:usb3="00000000" w:csb0="00040000" w:csb1="00000000"/>
    <w:embedRegular r:id="rId4" w:fontKey="{D7FCEA56-ECF6-4E78-9244-3A5825B26DB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4711F">
    <w:pPr>
      <w:pStyle w:val="3"/>
      <w:jc w:val="center"/>
      <w:rPr>
        <w:rFonts w:ascii="宋体" w:hAnsi="宋体"/>
        <w:sz w:val="30"/>
        <w:szCs w:val="30"/>
      </w:rPr>
    </w:pPr>
    <w:r>
      <w:rPr>
        <w:rFonts w:ascii="宋体" w:hAnsi="宋体"/>
        <w:sz w:val="30"/>
        <w:szCs w:val="30"/>
      </w:rPr>
      <w:fldChar w:fldCharType="begin"/>
    </w:r>
    <w:r>
      <w:rPr>
        <w:rFonts w:ascii="宋体" w:hAnsi="宋体"/>
        <w:sz w:val="30"/>
        <w:szCs w:val="30"/>
      </w:rPr>
      <w:instrText xml:space="preserve"> PAGE   \* MERGEFORMAT </w:instrText>
    </w:r>
    <w:r>
      <w:rPr>
        <w:rFonts w:ascii="宋体" w:hAnsi="宋体"/>
        <w:sz w:val="30"/>
        <w:szCs w:val="30"/>
      </w:rPr>
      <w:fldChar w:fldCharType="separate"/>
    </w:r>
    <w:r>
      <w:rPr>
        <w:rFonts w:ascii="宋体" w:hAnsi="宋体"/>
        <w:sz w:val="30"/>
        <w:szCs w:val="30"/>
        <w:lang w:val="zh-CN"/>
      </w:rPr>
      <w:t>-</w:t>
    </w:r>
    <w:r>
      <w:rPr>
        <w:rFonts w:ascii="宋体" w:hAnsi="宋体"/>
        <w:sz w:val="30"/>
        <w:szCs w:val="30"/>
      </w:rPr>
      <w:t xml:space="preserve"> 6 -</w:t>
    </w:r>
    <w:r>
      <w:rPr>
        <w:rFonts w:ascii="宋体" w:hAnsi="宋体"/>
        <w:sz w:val="30"/>
        <w:szCs w:val="30"/>
      </w:rPr>
      <w:fldChar w:fldCharType="end"/>
    </w:r>
  </w:p>
  <w:p w14:paraId="241D8444">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ABB09B"/>
    <w:multiLevelType w:val="singleLevel"/>
    <w:tmpl w:val="DCABB09B"/>
    <w:lvl w:ilvl="0" w:tentative="0">
      <w:start w:val="7"/>
      <w:numFmt w:val="chineseCounting"/>
      <w:suff w:val="nothing"/>
      <w:lvlText w:val="（%1）"/>
      <w:lvlJc w:val="left"/>
      <w:pPr>
        <w:ind w:left="27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049"/>
    <w:rsid w:val="00130ABE"/>
    <w:rsid w:val="00465C88"/>
    <w:rsid w:val="00582DBC"/>
    <w:rsid w:val="00636260"/>
    <w:rsid w:val="007864B9"/>
    <w:rsid w:val="00872CD2"/>
    <w:rsid w:val="00923F36"/>
    <w:rsid w:val="00983EFF"/>
    <w:rsid w:val="009976A6"/>
    <w:rsid w:val="009A0C9B"/>
    <w:rsid w:val="00AF5B39"/>
    <w:rsid w:val="00B12A08"/>
    <w:rsid w:val="00C95E25"/>
    <w:rsid w:val="00E07377"/>
    <w:rsid w:val="00EE2F44"/>
    <w:rsid w:val="00EF40D9"/>
    <w:rsid w:val="00FB5C81"/>
    <w:rsid w:val="00FF3049"/>
    <w:rsid w:val="07AF3996"/>
    <w:rsid w:val="0935436E"/>
    <w:rsid w:val="0A9450C5"/>
    <w:rsid w:val="0D3B3F1D"/>
    <w:rsid w:val="0E1A6086"/>
    <w:rsid w:val="0EEC3721"/>
    <w:rsid w:val="15C54E34"/>
    <w:rsid w:val="16225C7A"/>
    <w:rsid w:val="1AD80FFE"/>
    <w:rsid w:val="1ED61CF8"/>
    <w:rsid w:val="20A53730"/>
    <w:rsid w:val="21244F9D"/>
    <w:rsid w:val="27DC29AC"/>
    <w:rsid w:val="351A6043"/>
    <w:rsid w:val="38C86AB9"/>
    <w:rsid w:val="38DB3D3B"/>
    <w:rsid w:val="44136E5D"/>
    <w:rsid w:val="48573E99"/>
    <w:rsid w:val="4B553E21"/>
    <w:rsid w:val="4BBA3C84"/>
    <w:rsid w:val="50746AF7"/>
    <w:rsid w:val="51C15D6C"/>
    <w:rsid w:val="55482300"/>
    <w:rsid w:val="554A7E27"/>
    <w:rsid w:val="5FB014BC"/>
    <w:rsid w:val="65A17F37"/>
    <w:rsid w:val="65A43583"/>
    <w:rsid w:val="693115D2"/>
    <w:rsid w:val="70A24965"/>
    <w:rsid w:val="75DE796D"/>
    <w:rsid w:val="77106DE5"/>
    <w:rsid w:val="777059BB"/>
    <w:rsid w:val="7832538C"/>
    <w:rsid w:val="794B223C"/>
    <w:rsid w:val="7A851A83"/>
    <w:rsid w:val="7E215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spacing w:after="120"/>
    </w:pPr>
  </w:style>
  <w:style w:type="paragraph" w:styleId="3">
    <w:name w:val="footer"/>
    <w:basedOn w:val="1"/>
    <w:link w:val="12"/>
    <w:qFormat/>
    <w:uiPriority w:val="99"/>
    <w:pPr>
      <w:snapToGrid w:val="0"/>
      <w:jc w:val="left"/>
    </w:pPr>
    <w:rPr>
      <w:sz w:val="18"/>
    </w:rPr>
  </w:style>
  <w:style w:type="paragraph" w:styleId="4">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Times New Roman" w:hAnsi="Times New Roman" w:cs="Times New Roman"/>
      <w:sz w:val="24"/>
    </w:rPr>
  </w:style>
  <w:style w:type="character" w:styleId="8">
    <w:name w:val="Strong"/>
    <w:basedOn w:val="7"/>
    <w:qFormat/>
    <w:uiPriority w:val="0"/>
    <w:rPr>
      <w:b/>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paragraph" w:customStyle="1" w:styleId="10">
    <w:name w:val="TOC1"/>
    <w:basedOn w:val="1"/>
    <w:next w:val="1"/>
    <w:qFormat/>
    <w:uiPriority w:val="0"/>
  </w:style>
  <w:style w:type="character" w:customStyle="1" w:styleId="11">
    <w:name w:val="正文文本 Char"/>
    <w:basedOn w:val="7"/>
    <w:link w:val="2"/>
    <w:qFormat/>
    <w:uiPriority w:val="0"/>
    <w:rPr>
      <w:rFonts w:ascii="Calibri" w:hAnsi="Calibri" w:eastAsia="宋体" w:cs="Calibri"/>
      <w:szCs w:val="24"/>
    </w:rPr>
  </w:style>
  <w:style w:type="character" w:customStyle="1" w:styleId="12">
    <w:name w:val="页脚 Char"/>
    <w:basedOn w:val="7"/>
    <w:link w:val="3"/>
    <w:qFormat/>
    <w:uiPriority w:val="99"/>
    <w:rPr>
      <w:rFonts w:ascii="Calibri" w:hAnsi="Calibri" w:eastAsia="宋体" w:cs="Calibri"/>
      <w:sz w:val="18"/>
      <w:szCs w:val="24"/>
    </w:rPr>
  </w:style>
  <w:style w:type="paragraph" w:customStyle="1" w:styleId="13">
    <w:name w:val="文头"/>
    <w:basedOn w:val="1"/>
    <w:qFormat/>
    <w:uiPriority w:val="0"/>
    <w:pPr>
      <w:tabs>
        <w:tab w:val="left" w:pos="6663"/>
      </w:tabs>
      <w:spacing w:before="40" w:after="800" w:line="1640" w:lineRule="atLeast"/>
      <w:ind w:left="511" w:right="227" w:hanging="284"/>
      <w:jc w:val="distribute"/>
    </w:pPr>
    <w:rPr>
      <w:rFonts w:ascii="汉鼎简大宋" w:hAnsi="Times New Roman" w:eastAsia="汉鼎简大宋"/>
      <w:b/>
      <w:color w:val="FF0000"/>
      <w:w w:val="50"/>
      <w:sz w:val="136"/>
    </w:rPr>
  </w:style>
  <w:style w:type="character" w:customStyle="1" w:styleId="14">
    <w:name w:val="页眉 Char"/>
    <w:basedOn w:val="7"/>
    <w:link w:val="4"/>
    <w:semiHidden/>
    <w:qFormat/>
    <w:uiPriority w:val="99"/>
    <w:rPr>
      <w:rFonts w:ascii="Calibri" w:hAnsi="Calibri" w:eastAsia="宋体" w:cs="Calibri"/>
      <w:sz w:val="18"/>
      <w:szCs w:val="18"/>
    </w:rPr>
  </w:style>
  <w:style w:type="paragraph" w:customStyle="1" w:styleId="15">
    <w:name w:val="Table Text"/>
    <w:basedOn w:val="1"/>
    <w:semiHidden/>
    <w:qFormat/>
    <w:uiPriority w:val="0"/>
    <w:rPr>
      <w:rFonts w:ascii="Arial Unicode MS" w:hAnsi="Arial Unicode MS" w:eastAsia="Arial Unicode MS" w:cs="Arial Unicode MS"/>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4</Pages>
  <Words>3780</Words>
  <Characters>4193</Characters>
  <Lines>18</Lines>
  <Paragraphs>5</Paragraphs>
  <TotalTime>5</TotalTime>
  <ScaleCrop>false</ScaleCrop>
  <LinksUpToDate>false</LinksUpToDate>
  <CharactersWithSpaces>4330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2026-03-13T07:14:00Z</dcterms:created>
  <dc:creator>金敏华</dc:creator>
  <cp:lastModifiedBy>Drq</cp:lastModifiedBy>
  <cp:lastPrinted>2026-03-27T05:28:00Z</cp:lastPrinted>
  <dcterms:modified xsi:type="dcterms:W3CDTF">2026-03-30T03:12:46Z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eyJoZGlkIjoiNmZlZjUwOWYyYmI3NGY5YTJlMjhiYTdiYjJjYTAzNjYiLCJ1c2VySWQiOiIyMDk0NTQ1NTYifQ==</vt:lpwstr>
  </property>
  <property fmtid="{D5CDD505-2E9C-101B-9397-08002B2CF9AE}" pid="3" name="KSOProductBuildVer">
    <vt:lpwstr>2052-12.1.0.25225</vt:lpwstr>
  </property>
  <property fmtid="{D5CDD505-2E9C-101B-9397-08002B2CF9AE}" pid="4" name="ICV">
    <vt:lpwstr>19739273DF0945A8B57DD1EC8A5C1A46_13</vt:lpwstr>
  </property>
</Properties>
</file>