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lang w:eastAsia="zh-CN"/>
        </w:rPr>
        <w:t>政府采购合同</w:t>
      </w:r>
    </w:p>
    <w:p>
      <w:pPr>
        <w:spacing w:line="360" w:lineRule="auto"/>
        <w:ind w:firstLine="480"/>
        <w:rPr>
          <w:rFonts w:hint="eastAsia" w:ascii="宋体" w:hAnsi="宋体" w:eastAsia="宋体"/>
          <w:sz w:val="24"/>
          <w:szCs w:val="24"/>
        </w:rPr>
      </w:pPr>
    </w:p>
    <w:p>
      <w:pPr>
        <w:spacing w:line="360" w:lineRule="auto"/>
        <w:ind w:firstLine="48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lang w:eastAsia="zh-CN"/>
        </w:rPr>
        <w:t>甲方）：</w:t>
      </w:r>
      <w:r>
        <w:rPr>
          <w:rFonts w:hint="eastAsia" w:asciiTheme="minorEastAsia" w:hAnsiTheme="minorEastAsia" w:eastAsiaTheme="minorEastAsia" w:cstheme="minorEastAsia"/>
          <w:color w:val="auto"/>
          <w:sz w:val="21"/>
          <w:szCs w:val="21"/>
          <w:highlight w:val="none"/>
          <w:lang w:eastAsia="zh-CN"/>
        </w:rPr>
        <w:t>苏州市吴中区碧波中学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（以下简称甲方）</w:t>
      </w:r>
    </w:p>
    <w:p>
      <w:pPr>
        <w:spacing w:line="360" w:lineRule="auto"/>
        <w:ind w:firstLine="48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联系人：</w:t>
      </w:r>
      <w:r>
        <w:rPr>
          <w:rFonts w:hint="eastAsia" w:asciiTheme="minorEastAsia" w:hAnsiTheme="minorEastAsia" w:eastAsiaTheme="minorEastAsia" w:cstheme="minorEastAsia"/>
          <w:color w:val="auto"/>
          <w:sz w:val="21"/>
          <w:szCs w:val="21"/>
          <w:highlight w:val="none"/>
          <w:lang w:eastAsia="zh-CN"/>
        </w:rPr>
        <w:t>濮宏亮</w:t>
      </w:r>
      <w:r>
        <w:rPr>
          <w:rFonts w:hint="eastAsia" w:asciiTheme="minorEastAsia" w:hAnsiTheme="minorEastAsia" w:eastAsiaTheme="minorEastAsia" w:cstheme="minorEastAsia"/>
          <w:sz w:val="21"/>
          <w:szCs w:val="21"/>
          <w:lang w:val="en-US" w:eastAsia="zh-CN"/>
        </w:rPr>
        <w:t xml:space="preserve">    </w:t>
      </w:r>
    </w:p>
    <w:p>
      <w:pPr>
        <w:spacing w:line="360" w:lineRule="auto"/>
        <w:ind w:firstLine="48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电</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话：</w:t>
      </w:r>
      <w:r>
        <w:rPr>
          <w:rFonts w:hint="eastAsia" w:asciiTheme="minorEastAsia" w:hAnsiTheme="minorEastAsia" w:eastAsiaTheme="minorEastAsia" w:cstheme="minorEastAsia"/>
          <w:color w:val="auto"/>
          <w:sz w:val="21"/>
          <w:szCs w:val="21"/>
          <w:highlight w:val="none"/>
          <w:lang w:eastAsia="zh-CN"/>
        </w:rPr>
        <w:t>0512-65132698</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eastAsia" w:asciiTheme="minorEastAsia" w:hAnsiTheme="minorEastAsia" w:eastAsiaTheme="minorEastAsia" w:cstheme="minorEastAsia"/>
          <w:sz w:val="21"/>
          <w:szCs w:val="21"/>
        </w:rPr>
      </w:pPr>
    </w:p>
    <w:p>
      <w:pPr>
        <w:spacing w:line="360" w:lineRule="auto"/>
        <w:ind w:firstLine="48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乙方（</w:t>
      </w:r>
      <w:r>
        <w:rPr>
          <w:rFonts w:hint="eastAsia" w:asciiTheme="minorEastAsia" w:hAnsiTheme="minorEastAsia" w:eastAsiaTheme="minorEastAsia" w:cstheme="minorEastAsia"/>
          <w:sz w:val="21"/>
          <w:szCs w:val="21"/>
          <w:lang w:eastAsia="zh-CN"/>
        </w:rPr>
        <w:t>乙方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color w:val="auto"/>
          <w:sz w:val="21"/>
          <w:szCs w:val="21"/>
          <w:highlight w:val="none"/>
          <w:lang w:val="en-US" w:eastAsia="zh-CN"/>
        </w:rPr>
        <w:t>苏州四股网络智能化工程有限公司</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（以下简称乙方）</w:t>
      </w:r>
    </w:p>
    <w:p>
      <w:pPr>
        <w:spacing w:line="360" w:lineRule="auto"/>
        <w:ind w:firstLine="48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联系人：</w:t>
      </w:r>
      <w:r>
        <w:rPr>
          <w:rFonts w:hint="eastAsia" w:asciiTheme="minorEastAsia" w:hAnsiTheme="minorEastAsia" w:eastAsiaTheme="minorEastAsia" w:cstheme="minorEastAsia"/>
          <w:sz w:val="21"/>
          <w:szCs w:val="21"/>
          <w:lang w:val="en-US" w:eastAsia="zh-CN"/>
        </w:rPr>
        <w:t>付发平</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 xml:space="preserve">电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话：</w:t>
      </w:r>
      <w:r>
        <w:rPr>
          <w:rFonts w:hint="eastAsia" w:asciiTheme="minorEastAsia" w:hAnsiTheme="minorEastAsia" w:eastAsiaTheme="minorEastAsia" w:cstheme="minorEastAsia"/>
          <w:sz w:val="21"/>
          <w:szCs w:val="21"/>
          <w:lang w:val="en-US" w:eastAsia="zh-CN"/>
        </w:rPr>
        <w:t>15295613761</w:t>
      </w:r>
    </w:p>
    <w:p>
      <w:pPr>
        <w:spacing w:line="360" w:lineRule="auto"/>
        <w:rPr>
          <w:rFonts w:hint="eastAsia" w:asciiTheme="minorEastAsia" w:hAnsiTheme="minorEastAsia" w:eastAsiaTheme="minorEastAsia" w:cstheme="minorEastAsia"/>
          <w:sz w:val="21"/>
          <w:szCs w:val="21"/>
        </w:rPr>
      </w:pP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根据苏州日丰招投标代理有限公司采购编号 </w:t>
      </w:r>
      <w:r>
        <w:rPr>
          <w:rFonts w:hint="eastAsia" w:asciiTheme="minorEastAsia" w:hAnsiTheme="minorEastAsia" w:eastAsiaTheme="minorEastAsia" w:cstheme="minorEastAsia"/>
          <w:sz w:val="21"/>
          <w:szCs w:val="21"/>
          <w:u w:val="single"/>
          <w:lang w:eastAsia="zh-CN"/>
        </w:rPr>
        <w:t>SZRFZ2021-WZ-T-001</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号政府采购文件及成交单位的响应文件和成交通知书，甲乙双方就此次成交的标的物的购销事宜，签订本合同书。</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一、合同的标的物</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1.1甲方向乙方采购标的物，具体的品种、规格要求如下：</w:t>
      </w:r>
    </w:p>
    <w:tbl>
      <w:tblPr>
        <w:tblStyle w:val="6"/>
        <w:tblW w:w="10308" w:type="dxa"/>
        <w:jc w:val="center"/>
        <w:tblLayout w:type="fixed"/>
        <w:tblCellMar>
          <w:top w:w="0" w:type="dxa"/>
          <w:left w:w="108" w:type="dxa"/>
          <w:bottom w:w="0" w:type="dxa"/>
          <w:right w:w="108" w:type="dxa"/>
        </w:tblCellMar>
      </w:tblPr>
      <w:tblGrid>
        <w:gridCol w:w="757"/>
        <w:gridCol w:w="1613"/>
        <w:gridCol w:w="2409"/>
        <w:gridCol w:w="709"/>
        <w:gridCol w:w="718"/>
        <w:gridCol w:w="956"/>
        <w:gridCol w:w="1161"/>
        <w:gridCol w:w="1985"/>
      </w:tblGrid>
      <w:tr>
        <w:tblPrEx>
          <w:tblCellMar>
            <w:top w:w="0" w:type="dxa"/>
            <w:left w:w="108" w:type="dxa"/>
            <w:bottom w:w="0" w:type="dxa"/>
            <w:right w:w="108" w:type="dxa"/>
          </w:tblCellMar>
        </w:tblPrEx>
        <w:trPr>
          <w:trHeight w:val="600"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w:t>
            </w:r>
          </w:p>
        </w:tc>
        <w:tc>
          <w:tcPr>
            <w:tcW w:w="16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采购内容</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品牌、规格、型号、制造厂家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数量</w:t>
            </w:r>
          </w:p>
        </w:tc>
        <w:tc>
          <w:tcPr>
            <w:tcW w:w="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单位</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单价</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总价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备注</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佳能 IP2780  配套墨盒</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莱盛、PG-815和 CL-816、北京莱盛高新技术有限公司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200.00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10000.00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1个黑色墨盒及1个彩色墨盒为一套</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佳能 IX6780  配套墨盒</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莱盛、PG-870XL和CLI-871C K M Y、北京莱盛高新技术有限公司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个</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50.00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1500.00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1个黑色墨盒及4个彩色墨盒为一套</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佳能 G1800 配套墨水</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莱盛、GI890、北京莱盛高新技术有限公司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30.00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900.00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一套墨水包含四种颜色各一瓶（黑色135ml，其他三种颜色70ml）</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HP LasterJet P1007配套硒鼓</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莱盛、CC388A、北京莱盛高新技术有限公司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个</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72.00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3600.00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每个硒鼓可打印2000页</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佳能 IP1980配套墨盒</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莱盛、PG-830和PG-831、北京莱盛高新技术有限公司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156.00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7800.00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1个黑色墨盒及1个彩色墨盒为一套</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 油墨</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 SF、厦门文仪电脑材料有限公司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个</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50.00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7000.00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1000ml</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  版纸</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OAT、SFB4、厦门文仪电脑材料有限公司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个</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90.00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5400.00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B4</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SF5231搓纸轮</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75.00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600.00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包含两个搓纸轴，两个人搓纸皮，一个摩擦片</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SF5231油泵组件</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1100.00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2200.00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油泵组件</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SF5231制版切刀</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450.00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900.00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制版切刀</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SF5231压力滚</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100.00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压力滚</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12</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SF5231布墨管</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240.00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480.00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布墨管</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SF5231滚筒钢网</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215.00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430.00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滚筒钢网</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SF5231纱网</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55.00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110.00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纱网</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理想RISO SF5231滚筒法轮</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OAT、定制、厦门文仪电脑材料有限公司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240.00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480.00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滚筒法论</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16</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佳能iR 2520i  配套硒鼓</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莱盛、CAN-G51、北京莱盛高新技术有限公司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个</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100.00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5000.00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配套硒鼓</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17</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HP OFFICEJET 7612 配套黑色墨盒</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莱盛、H-932XLBK和H-933XLC M Y、北京莱盛高新技术有限公司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118.00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5900.00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1个黑色墨盒及3个彩色墨盒为一套</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佳能 IX6580 配套黑色墨盒</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莱盛、CLI-826BK和CLI-826GY C M Y、北京莱盛高新技术有限公司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30.00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1500.00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1个黑色墨盒及4个彩色墨盒为一套</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19</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70克 8K 白色速印纸4000张</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三元、70克 8K、无锡市三元纸业有限公司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令</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245.00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110250.00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70克 8K 白色速印纸4000张</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w:t>
            </w:r>
          </w:p>
        </w:tc>
        <w:tc>
          <w:tcPr>
            <w:tcW w:w="161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70克 16K 白色速印纸8000张</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三元、70克 16K、无锡市三元纸业有限公司</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450</w:t>
            </w:r>
          </w:p>
        </w:tc>
        <w:tc>
          <w:tcPr>
            <w:tcW w:w="7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令</w:t>
            </w:r>
          </w:p>
        </w:tc>
        <w:tc>
          <w:tcPr>
            <w:tcW w:w="95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245.00 </w:t>
            </w:r>
          </w:p>
        </w:tc>
        <w:tc>
          <w:tcPr>
            <w:tcW w:w="116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110250.00 </w:t>
            </w:r>
          </w:p>
        </w:tc>
        <w:tc>
          <w:tcPr>
            <w:tcW w:w="198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70克 16K 白色速印纸8000张</w:t>
            </w:r>
          </w:p>
        </w:tc>
      </w:tr>
      <w:tr>
        <w:tblPrEx>
          <w:tblCellMar>
            <w:top w:w="0" w:type="dxa"/>
            <w:left w:w="108" w:type="dxa"/>
            <w:bottom w:w="0" w:type="dxa"/>
            <w:right w:w="108" w:type="dxa"/>
          </w:tblCellMar>
        </w:tblPrEx>
        <w:trPr>
          <w:trHeight w:val="600" w:hRule="atLeast"/>
          <w:jc w:val="center"/>
        </w:trPr>
        <w:tc>
          <w:tcPr>
            <w:tcW w:w="10308" w:type="dxa"/>
            <w:gridSpan w:val="8"/>
            <w:tcBorders>
              <w:top w:val="nil"/>
              <w:left w:val="single" w:color="auto" w:sz="4" w:space="0"/>
              <w:bottom w:val="single" w:color="auto" w:sz="4" w:space="0"/>
              <w:right w:val="single" w:color="auto" w:sz="4" w:space="0"/>
            </w:tcBorders>
            <w:shd w:val="clear" w:color="auto" w:fill="auto"/>
            <w:noWrap/>
            <w:vAlign w:val="center"/>
          </w:tcPr>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kern w:val="0"/>
                <w:sz w:val="21"/>
                <w:szCs w:val="21"/>
                <w:lang w:val="en-US" w:eastAsia="zh-CN"/>
              </w:rPr>
              <w:t xml:space="preserve">                 总价:</w:t>
            </w:r>
            <w:r>
              <w:rPr>
                <w:rFonts w:hint="eastAsia" w:asciiTheme="minorEastAsia" w:hAnsiTheme="minorEastAsia" w:eastAsiaTheme="minorEastAsia" w:cstheme="minorEastAsia"/>
                <w:color w:val="auto"/>
                <w:sz w:val="21"/>
                <w:szCs w:val="21"/>
                <w:highlight w:val="none"/>
                <w:lang w:val="en-US" w:eastAsia="zh-CN"/>
              </w:rPr>
              <w:t>贰拾柒万肆仟伍佰</w:t>
            </w:r>
            <w:r>
              <w:rPr>
                <w:rFonts w:hint="eastAsia" w:asciiTheme="minorEastAsia" w:hAnsiTheme="minorEastAsia" w:eastAsiaTheme="minorEastAsia" w:cstheme="minorEastAsia"/>
                <w:color w:val="auto"/>
                <w:sz w:val="21"/>
                <w:szCs w:val="21"/>
                <w:highlight w:val="none"/>
                <w:lang w:eastAsia="zh-CN"/>
              </w:rPr>
              <w:t>元整（¥</w:t>
            </w:r>
            <w:r>
              <w:rPr>
                <w:rFonts w:hint="eastAsia" w:asciiTheme="minorEastAsia" w:hAnsiTheme="minorEastAsia" w:eastAsiaTheme="minorEastAsia" w:cstheme="minorEastAsia"/>
                <w:color w:val="auto"/>
                <w:sz w:val="21"/>
                <w:szCs w:val="21"/>
                <w:highlight w:val="none"/>
                <w:lang w:val="en-US" w:eastAsia="zh-CN"/>
              </w:rPr>
              <w:t>274500</w:t>
            </w:r>
            <w:r>
              <w:rPr>
                <w:rFonts w:hint="eastAsia" w:asciiTheme="minorEastAsia" w:hAnsiTheme="minorEastAsia" w:eastAsiaTheme="minorEastAsia" w:cstheme="minorEastAsia"/>
                <w:color w:val="auto"/>
                <w:sz w:val="21"/>
                <w:szCs w:val="21"/>
                <w:highlight w:val="none"/>
                <w:lang w:eastAsia="zh-CN"/>
              </w:rPr>
              <w:t>.00）</w:t>
            </w:r>
          </w:p>
          <w:p>
            <w:pPr>
              <w:widowControl/>
              <w:jc w:val="left"/>
              <w:rPr>
                <w:rFonts w:hint="eastAsia" w:asciiTheme="minorEastAsia" w:hAnsiTheme="minorEastAsia" w:eastAsiaTheme="minorEastAsia" w:cstheme="minorEastAsia"/>
                <w:color w:val="000000"/>
                <w:kern w:val="0"/>
                <w:sz w:val="21"/>
                <w:szCs w:val="21"/>
                <w:lang w:val="en-US" w:eastAsia="zh-CN"/>
              </w:rPr>
            </w:pPr>
          </w:p>
        </w:tc>
      </w:tr>
    </w:tbl>
    <w:p>
      <w:pPr>
        <w:pStyle w:val="5"/>
        <w:rPr>
          <w:rFonts w:hint="eastAsia" w:asciiTheme="minorEastAsia" w:hAnsiTheme="minorEastAsia" w:eastAsiaTheme="minorEastAsia" w:cstheme="minorEastAsia"/>
          <w:sz w:val="21"/>
          <w:szCs w:val="21"/>
        </w:rPr>
      </w:pP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 乙方对提供的标的物应当拥有完整的物权，并且负有保证第三人不得向甲方主张任何权利（包括知识产权）的义务。</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二、合同价格与支付</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 合同价格按此次成交价格执行，合同总金额为人民币</w:t>
      </w:r>
      <w:r>
        <w:rPr>
          <w:rFonts w:hint="eastAsia" w:asciiTheme="minorEastAsia" w:hAnsiTheme="minorEastAsia" w:eastAsiaTheme="minorEastAsia" w:cstheme="minorEastAsia"/>
          <w:b/>
          <w:sz w:val="21"/>
          <w:szCs w:val="21"/>
          <w:u w:val="single"/>
        </w:rPr>
        <w:t xml:space="preserve"> 大写：</w:t>
      </w:r>
      <w:r>
        <w:rPr>
          <w:rFonts w:hint="eastAsia" w:asciiTheme="minorEastAsia" w:hAnsiTheme="minorEastAsia" w:eastAsiaTheme="minorEastAsia" w:cstheme="minorEastAsia"/>
          <w:color w:val="auto"/>
          <w:sz w:val="21"/>
          <w:szCs w:val="21"/>
          <w:highlight w:val="none"/>
          <w:u w:val="single"/>
          <w:lang w:val="en-US" w:eastAsia="zh-CN"/>
        </w:rPr>
        <w:t>贰拾柒万肆仟伍佰元整</w:t>
      </w:r>
      <w:r>
        <w:rPr>
          <w:rFonts w:hint="eastAsia" w:asciiTheme="minorEastAsia" w:hAnsiTheme="minorEastAsia" w:eastAsiaTheme="minorEastAsia" w:cstheme="minorEastAsia"/>
          <w:b/>
          <w:sz w:val="21"/>
          <w:szCs w:val="21"/>
          <w:u w:val="single"/>
        </w:rPr>
        <w:t xml:space="preserve">    小写：（￥：</w:t>
      </w:r>
      <w:r>
        <w:rPr>
          <w:rFonts w:hint="eastAsia" w:asciiTheme="minorEastAsia" w:hAnsiTheme="minorEastAsia" w:eastAsiaTheme="minorEastAsia" w:cstheme="minorEastAsia"/>
          <w:color w:val="auto"/>
          <w:sz w:val="21"/>
          <w:szCs w:val="21"/>
          <w:highlight w:val="none"/>
          <w:u w:val="single"/>
          <w:lang w:val="en-US" w:eastAsia="zh-CN"/>
        </w:rPr>
        <w:t>274500</w:t>
      </w:r>
      <w:r>
        <w:rPr>
          <w:rFonts w:hint="eastAsia" w:asciiTheme="minorEastAsia" w:hAnsiTheme="minorEastAsia" w:eastAsiaTheme="minorEastAsia" w:cstheme="minorEastAsia"/>
          <w:color w:val="auto"/>
          <w:sz w:val="21"/>
          <w:szCs w:val="21"/>
          <w:highlight w:val="none"/>
          <w:u w:val="single"/>
          <w:lang w:eastAsia="zh-CN"/>
        </w:rPr>
        <w:t>.00</w:t>
      </w:r>
      <w:r>
        <w:rPr>
          <w:rFonts w:hint="eastAsia" w:asciiTheme="minorEastAsia" w:hAnsiTheme="minorEastAsia" w:eastAsiaTheme="minorEastAsia" w:cstheme="minorEastAsia"/>
          <w:b/>
          <w:sz w:val="21"/>
          <w:szCs w:val="21"/>
          <w:u w:val="single"/>
        </w:rPr>
        <w:t xml:space="preserve">  ），</w:t>
      </w:r>
      <w:r>
        <w:rPr>
          <w:rFonts w:hint="eastAsia" w:asciiTheme="minorEastAsia" w:hAnsiTheme="minorEastAsia" w:eastAsiaTheme="minorEastAsia" w:cstheme="minorEastAsia"/>
          <w:sz w:val="21"/>
          <w:szCs w:val="21"/>
        </w:rPr>
        <w:t>（包括响应的产品及其备品、备件和专用工具费用、税费及包装、运至最终目的地的运输、保险、安装调试、售后服务及相关劳务支出等工作所发生的全部费用以及谈判供应商企业利润、税金和政策性文件规定及合同包含的所有风险、责任等各项应有费用）。</w:t>
      </w:r>
    </w:p>
    <w:p>
      <w:pPr>
        <w:spacing w:line="360" w:lineRule="auto"/>
        <w:ind w:firstLine="48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rPr>
        <w:t>2.2 合同生效后按如下步骤支付货</w:t>
      </w:r>
      <w:r>
        <w:rPr>
          <w:rFonts w:hint="eastAsia" w:asciiTheme="minorEastAsia" w:hAnsiTheme="minorEastAsia" w:eastAsiaTheme="minorEastAsia" w:cstheme="minorEastAsia"/>
          <w:sz w:val="21"/>
          <w:szCs w:val="21"/>
          <w:highlight w:val="none"/>
        </w:rPr>
        <w:t>款：自合同签订后，待全部货物按时到达采购人指定地点，经验收合格后</w:t>
      </w:r>
      <w:r>
        <w:rPr>
          <w:rFonts w:hint="eastAsia" w:asciiTheme="minorEastAsia" w:hAnsiTheme="minorEastAsia" w:eastAsiaTheme="minorEastAsia" w:cstheme="minorEastAsia"/>
          <w:sz w:val="21"/>
          <w:szCs w:val="21"/>
          <w:highlight w:val="none"/>
          <w:lang w:val="en-US" w:eastAsia="zh-CN"/>
        </w:rPr>
        <w:t>付至60</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.剩余货款半年后付清.</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2.3 乙方按期交货后向甲方结算货款时须提供下列单据：合格的销售发票、</w:t>
      </w:r>
      <w:r>
        <w:rPr>
          <w:rFonts w:hint="eastAsia" w:asciiTheme="minorEastAsia" w:hAnsiTheme="minorEastAsia" w:eastAsiaTheme="minorEastAsia" w:cstheme="minorEastAsia"/>
          <w:sz w:val="21"/>
          <w:szCs w:val="21"/>
        </w:rPr>
        <w:t>质量保证书及随产品附带的所有有关资料、甲方盖章签收后的运货回单和验收合格证明。</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 根据现行税法对甲方征收的与本合同有关的一切税费均由甲方承担；根据现行税法对乙方征收的与本合同有关的一切税费均由乙方承担。</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 支付方式：银行转账。</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三、质量保证</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乙方应保证所提供的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标的物质量出现问题，乙方应负责包修、包退、包换，费用由乙方承担。</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 根据甲方按检验标准自己检验的结果或当地计监部门的检验结果，或者在质量保证期内，如果标的物的数量、质量或规格与合同不符或证实标的物是有缺陷的，包括潜在缺陷或使用不符合要求的材料等，甲方应尽快以书面形式通知乙方并提出索赔。</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 除特别约定外，合同条款中标的物的质量保证期均自标的物通过最终验收之日起计算。</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四、包装</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乙方提供的</w:t>
      </w:r>
      <w:r>
        <w:rPr>
          <w:rFonts w:hint="eastAsia" w:asciiTheme="minorEastAsia" w:hAnsiTheme="minorEastAsia" w:eastAsiaTheme="minorEastAsia" w:cstheme="minorEastAsia"/>
          <w:sz w:val="21"/>
          <w:szCs w:val="21"/>
          <w:lang w:val="en-US" w:eastAsia="zh-CN"/>
        </w:rPr>
        <w:t>货物</w:t>
      </w:r>
      <w:r>
        <w:rPr>
          <w:rFonts w:hint="eastAsia" w:asciiTheme="minorEastAsia" w:hAnsiTheme="minorEastAsia" w:eastAsiaTheme="minorEastAsia" w:cstheme="minorEastAsia"/>
          <w:sz w:val="21"/>
          <w:szCs w:val="21"/>
        </w:rPr>
        <w:t>必须为原包装，在送交甲方验收前不得拆箱。</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五、标的物的交付</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 标的物的所有权自标的物交付时转移。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 乙方应当按照约定的期限和约定的地点交付标的物。</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 乙方应当按照约定或者交易习惯向甲方交付提取标的物单证以外的有关单证和资料。</w:t>
      </w:r>
    </w:p>
    <w:p>
      <w:pPr>
        <w:spacing w:line="360" w:lineRule="auto"/>
        <w:ind w:firstLine="48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5.4交货时</w:t>
      </w:r>
      <w:r>
        <w:rPr>
          <w:rFonts w:hint="eastAsia" w:asciiTheme="minorEastAsia" w:hAnsiTheme="minorEastAsia" w:eastAsiaTheme="minorEastAsia" w:cstheme="minorEastAsia"/>
          <w:sz w:val="21"/>
          <w:szCs w:val="21"/>
          <w:highlight w:val="none"/>
        </w:rPr>
        <w:t>间：自接到交货通知10日内供货，如不能如期供货，采购单位有权终止合同，成交单位须承担由此对采购方造成的损失。</w:t>
      </w:r>
    </w:p>
    <w:p>
      <w:pPr>
        <w:spacing w:line="360" w:lineRule="auto"/>
        <w:ind w:firstLine="48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5.5 交货地点：由采购人指定。</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六、伴随服务</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 乙方除应履行按期按量交付合格标的物的义务外，还应当提供下列服务：</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6.1.1 标的物的现场安装、调试、监督（如果必须安装、调试的话）；</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6.1.2 提供标的物组装和一般维修所必需的工具；</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6.1.3 在合同规定的期限内对所提供的标的物实行运行监督、维修服务的前提条件是该服务并不能免除乙方在质量保证期内所承担的义务；</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6.1.4 对甲方技术人员的技术指导或培训。</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 除合同另有规定之外，伴随服务的费用均已含在合同价款中，甲方不再另行支付。</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七、标的物的检验和验收</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 在交货前，乙方应对标的物的质量、规格、性能、数量、外观、随机备件备品、装箱单、随机资料、包装等进行详细而全面的检验，并出具一份检验合格证明，合格检验证明作为甲方验收的依据，但不能作为有关标的物质量、规格、数量或性能的最终检验结果。</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 甲方根据合同规定的内容和验收标准进行验收，同时比较乙方出具的检验证明，经检验无误后出具验收合格证明，该证明作为最终付款所需文件的组成部分。</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 验收期限自标的物交付之日起七天内。特殊情况需延长的，双方应特别约定。</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7.4 如双方对验收结果有分歧，则以相关部门的检验结果为准，检验费由有过失的一方支付。乙方所供货物未达到采购文件规定的技术要求，甲方有权要求其再次提供符合文件要求的货物，若在规定时间内仍无法满足的，甲方有权取消其成交资格。</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八、标的物提出异议的时间和办法</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 甲方在验收过程中，应当于双方约定的检验期间内将标的物的数量或质量不符合约定的情况及处理方式以书面方式通知乙方。</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 如果甲方在验收期满后既不出具验收合格证明又未提出书面异议的视为乙方所交标的物符合合同规定。</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8.3 乙方应在收到甲方书面异议后七天内负责处理问题，否则将视为默认甲方提出的异议和处理意见。</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九、售后服务</w:t>
      </w:r>
    </w:p>
    <w:p>
      <w:pPr>
        <w:spacing w:line="360" w:lineRule="auto"/>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9.1 提供免费上门服务，一旦发生质量问题，供应商保证在接到通知工作日的24小时内到现场，如需更换,必须在2个工作日内解决。</w:t>
      </w:r>
    </w:p>
    <w:p>
      <w:pPr>
        <w:spacing w:line="360" w:lineRule="auto"/>
        <w:ind w:firstLine="48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十、违约责任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合同一方不履行合同义务或者履行合同义务不符合约定的，应当承担继续履行、采取补救措施或赔偿损失等违约责任。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10.1 甲方违约责任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10.1.1在合同生效后，甲方要求退货的，应向乙方偿付合同总价款的5%，作为违约金，违约金不足以补偿损失的，乙方有权要求甲方补足。</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10.1.2 甲方逾期支付货款的应按照逾期付款金额的每天万分之四支付逾期付款违约金。</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10.1.3 甲方违反合同规定，拒绝接收乙方交付的合格标的物，应当承担乙方由此造成的损失。</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 乙方违约责任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10.2.1 乙方不能交货，或交货不合格从而影响甲方按期正常使用的，应向甲方偿付合同总价款5%的违约金，违约金不足以补偿损失的，甲方有权要求乙方补足；同时甲方有权终止合同并要求乙方承担甲方因此遭致的损失费用。</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10.2.2 乙方逾期交货的，应提前与甲方协商，甲方仍同意供货的，乙方应立即发货，按照逾期交货部分货款的每天万分之四支付逾期交货违约金，若甲方不同意继续供货，则合同直接终止，相关损失由乙方承担。</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十一、不可抗力</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 因不可抗力不能履行合同的，根据不可抗力的影响，部分或者全部免除责任。但合同一方延迟履行后发生不可抗力的，不能免除责任。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11.2 合同一方因不可抗力不能履行合同的，应当及时通知对方，以减轻可能给对方造成的损失，并应当在合理期限内提供证明。</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十二、索赔</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 甲方有权根据当地产品质量检验机构或其他有权部门出具的检验证书向乙方提出索赔。</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 在本合同规定的检验期限和质量保证期内，如果乙方对甲方提出的索赔或差异有责任，则乙方应按甲方同意的下列一种或多种方式解决索赔事宜：</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12.2.1 乙方同意退货，并按合同规定的货币将货款退还给甲方，并且承担由此发生的一切损失和费用，包括利息、银行手续费、运费、保险费、检验费、仓储费、装卸费以及为保护退回标的物所需的其他必要费用。</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12.2.2 根据标的物的低劣程度、损坏程度以及甲方遭受损失的数额，经双方协商确定降低标的物的价格。</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12.2.3 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12.3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 </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十三、合同的解除和转让</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有下列情形之一，合同一方可以解除合同：</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.1 因不可抗力致使不能实现合同目的，未受不可抗力影响的一方有权解除合同；</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.2 因合同一方违约导致合同不能履行，另一方有权解除合同</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.3 有权解除合同的一方，应当在违约事实或不可抗力发生之后三十天内书面通知对方以主张解除合同，合同在书面通知到达对方时解除。</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 合同的部分和全部都不得转让。</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十四、合同的生效</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本合同经双方签字盖章后生效，生效后</w:t>
      </w:r>
      <w:r>
        <w:rPr>
          <w:rFonts w:hint="eastAsia" w:asciiTheme="minorEastAsia" w:hAnsiTheme="minorEastAsia" w:eastAsiaTheme="minorEastAsia" w:cstheme="minorEastAsia"/>
          <w:sz w:val="21"/>
          <w:szCs w:val="21"/>
          <w:lang w:val="en-US" w:eastAsia="zh-CN"/>
        </w:rPr>
        <w:t>的合同交</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sz w:val="21"/>
          <w:szCs w:val="21"/>
          <w:lang w:val="en-US" w:eastAsia="zh-CN"/>
        </w:rPr>
        <w:t>代理机构进行网上</w:t>
      </w:r>
      <w:r>
        <w:rPr>
          <w:rFonts w:hint="eastAsia" w:asciiTheme="minorEastAsia" w:hAnsiTheme="minorEastAsia" w:eastAsiaTheme="minorEastAsia" w:cstheme="minorEastAsia"/>
          <w:sz w:val="21"/>
          <w:szCs w:val="21"/>
        </w:rPr>
        <w:t>政备案。</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十五、争议的解决</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甲乙双方因合同发生争议，应在招标机构的主持下进行调解，协商不成，任何一方可以向甲方所在地人民法院起诉。</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十六、附则</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 合同份数：本合同一式</w:t>
      </w:r>
      <w:r>
        <w:rPr>
          <w:rFonts w:hint="eastAsia" w:asciiTheme="minorEastAsia" w:hAnsiTheme="minorEastAsia" w:eastAsiaTheme="minorEastAsia" w:cstheme="minorEastAsia"/>
          <w:sz w:val="21"/>
          <w:szCs w:val="21"/>
          <w:lang w:val="en-US" w:eastAsia="zh-CN"/>
        </w:rPr>
        <w:t>陆</w:t>
      </w:r>
      <w:r>
        <w:rPr>
          <w:rFonts w:hint="eastAsia" w:asciiTheme="minorEastAsia" w:hAnsiTheme="minorEastAsia" w:eastAsiaTheme="minorEastAsia" w:cstheme="minorEastAsia"/>
          <w:sz w:val="21"/>
          <w:szCs w:val="21"/>
        </w:rPr>
        <w:t>份，甲乙双方各执</w:t>
      </w:r>
      <w:r>
        <w:rPr>
          <w:rFonts w:hint="eastAsia" w:asciiTheme="minorEastAsia" w:hAnsiTheme="minorEastAsia" w:eastAsiaTheme="minorEastAsia" w:cstheme="minorEastAsia"/>
          <w:sz w:val="21"/>
          <w:szCs w:val="21"/>
          <w:lang w:val="en-US" w:eastAsia="zh-CN"/>
        </w:rPr>
        <w:t>贰</w:t>
      </w:r>
      <w:r>
        <w:rPr>
          <w:rFonts w:hint="eastAsia" w:asciiTheme="minorEastAsia" w:hAnsiTheme="minorEastAsia" w:eastAsiaTheme="minorEastAsia" w:cstheme="minorEastAsia"/>
          <w:sz w:val="21"/>
          <w:szCs w:val="21"/>
        </w:rPr>
        <w:t>份，招标机构</w:t>
      </w:r>
      <w:r>
        <w:rPr>
          <w:rFonts w:hint="eastAsia" w:asciiTheme="minorEastAsia" w:hAnsiTheme="minorEastAsia" w:eastAsiaTheme="minorEastAsia" w:cstheme="minorEastAsia"/>
          <w:sz w:val="21"/>
          <w:szCs w:val="21"/>
          <w:lang w:val="en-US" w:eastAsia="zh-CN"/>
        </w:rPr>
        <w:t>贰</w:t>
      </w:r>
      <w:r>
        <w:rPr>
          <w:rFonts w:hint="eastAsia" w:asciiTheme="minorEastAsia" w:hAnsiTheme="minorEastAsia" w:eastAsiaTheme="minorEastAsia" w:cstheme="minorEastAsia"/>
          <w:sz w:val="21"/>
          <w:szCs w:val="21"/>
        </w:rPr>
        <w:t>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含</w:t>
      </w:r>
      <w:r>
        <w:rPr>
          <w:rFonts w:hint="eastAsia" w:asciiTheme="minorEastAsia" w:hAnsiTheme="minorEastAsia" w:eastAsiaTheme="minorEastAsia" w:cstheme="minorEastAsia"/>
          <w:sz w:val="21"/>
          <w:szCs w:val="21"/>
        </w:rPr>
        <w:t>政府采购管理部门一份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16.2 本合同文件使用中文书写、解释和说明。</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16.3成交通知书、采购响应文件和采购文件为本合同的附件，与合同具有同等效力。</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16.4 未尽事宜</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本合同未尽事宜应按照《中华人民共和国合同法》、《中华人民共和国产品质量法》、《中华人民共和国政府采购法》之规定解释。</w:t>
      </w:r>
    </w:p>
    <w:p>
      <w:pPr>
        <w:pStyle w:val="8"/>
        <w:numPr>
          <w:ilvl w:val="0"/>
          <w:numId w:val="0"/>
        </w:numPr>
        <w:autoSpaceDE w:val="0"/>
        <w:autoSpaceDN w:val="0"/>
        <w:adjustRightInd w:val="0"/>
        <w:snapToGrid w:val="0"/>
        <w:spacing w:line="360" w:lineRule="auto"/>
        <w:jc w:val="both"/>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pStyle w:val="8"/>
        <w:rPr>
          <w:rFonts w:hint="eastAsia" w:asciiTheme="minorEastAsia" w:hAnsiTheme="minorEastAsia" w:eastAsiaTheme="minorEastAsia" w:cstheme="minorEastAsia"/>
          <w:sz w:val="21"/>
          <w:szCs w:val="21"/>
        </w:rPr>
      </w:pPr>
    </w:p>
    <w:p>
      <w:pPr>
        <w:rPr>
          <w:rFonts w:hint="eastAsia" w:eastAsia="宋体"/>
          <w:lang w:eastAsia="zh-CN"/>
        </w:rPr>
      </w:pPr>
      <w:r>
        <w:rPr>
          <w:rFonts w:hint="eastAsia" w:eastAsia="宋体"/>
          <w:lang w:eastAsia="zh-CN"/>
        </w:rPr>
        <w:drawing>
          <wp:inline distT="0" distB="0" distL="114300" distR="114300">
            <wp:extent cx="5266690" cy="7022465"/>
            <wp:effectExtent l="0" t="0" r="10160" b="6985"/>
            <wp:docPr id="1" name="图片 1" descr="4952ca65c33e61cc000ce3db1a55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952ca65c33e61cc000ce3db1a55ffc"/>
                    <pic:cNvPicPr>
                      <a:picLocks noChangeAspect="1"/>
                    </pic:cNvPicPr>
                  </pic:nvPicPr>
                  <pic:blipFill>
                    <a:blip r:embed="rId4"/>
                    <a:stretch>
                      <a:fillRect/>
                    </a:stretch>
                  </pic:blipFill>
                  <pic:spPr>
                    <a:xfrm>
                      <a:off x="0" y="0"/>
                      <a:ext cx="5266690" cy="702246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20063"/>
    <w:rsid w:val="14B47695"/>
    <w:rsid w:val="31504097"/>
    <w:rsid w:val="3CEB7717"/>
    <w:rsid w:val="40390E8A"/>
    <w:rsid w:val="45611BC3"/>
    <w:rsid w:val="475333BD"/>
    <w:rsid w:val="56F9075B"/>
    <w:rsid w:val="5C4B20F2"/>
    <w:rsid w:val="6A0B6EF6"/>
    <w:rsid w:val="6C4F05C9"/>
    <w:rsid w:val="719776DC"/>
    <w:rsid w:val="75E50CFF"/>
    <w:rsid w:val="76E71F54"/>
    <w:rsid w:val="7AD72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qFormat/>
    <w:uiPriority w:val="0"/>
    <w:rPr>
      <w:kern w:val="0"/>
      <w:sz w:val="24"/>
      <w:szCs w:val="24"/>
    </w:rPr>
  </w:style>
  <w:style w:type="paragraph" w:styleId="4">
    <w:name w:val="Body Text Indent"/>
    <w:basedOn w:val="1"/>
    <w:qFormat/>
    <w:uiPriority w:val="0"/>
    <w:pPr>
      <w:spacing w:line="520" w:lineRule="exact"/>
      <w:ind w:left="570"/>
    </w:pPr>
    <w:rPr>
      <w:rFonts w:ascii="方正仿宋简体" w:hAnsi="创艺简仿宋" w:eastAsia="方正仿宋简体"/>
      <w:sz w:val="24"/>
    </w:rPr>
  </w:style>
  <w:style w:type="paragraph" w:styleId="5">
    <w:name w:val="Body Text First Indent"/>
    <w:basedOn w:val="3"/>
    <w:qFormat/>
    <w:uiPriority w:val="99"/>
    <w:pPr>
      <w:ind w:firstLine="420" w:firstLineChars="100"/>
      <w:jc w:val="both"/>
    </w:pPr>
  </w:style>
  <w:style w:type="paragraph" w:customStyle="1" w:styleId="8">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2020-12-29T01:56:00Z</dcterms:created>
  <dc:creator>chen</dc:creator>
  <cp:lastModifiedBy>cherry</cp:lastModifiedBy>
  <cp:lastPrinted>2021-02-19T02:17:00Z</cp:lastPrinted>
  <dcterms:modified xsi:type="dcterms:W3CDTF">2021-02-23T07:09:49Z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